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4EF7F" w14:textId="39BF0EF4" w:rsidR="003B7AF7" w:rsidRPr="00DB69B5" w:rsidRDefault="00DB69B5" w:rsidP="003B7AF7">
      <w:pPr>
        <w:pStyle w:val="Nagwek2"/>
        <w:ind w:left="576" w:hanging="576"/>
        <w:jc w:val="center"/>
        <w:rPr>
          <w:rStyle w:val="Pogrubienie"/>
          <w:bCs w:val="0"/>
          <w:iCs/>
        </w:rPr>
      </w:pPr>
      <w:r w:rsidRPr="00DB69B5">
        <w:rPr>
          <w:rStyle w:val="Pogrubienie"/>
          <w:iCs/>
        </w:rPr>
        <w:t>POBRANIE KAŁU DO BADANIA</w:t>
      </w:r>
    </w:p>
    <w:p w14:paraId="2524B6B3" w14:textId="77777777" w:rsidR="003B7AF7" w:rsidRDefault="003B7AF7" w:rsidP="003B7AF7">
      <w:pPr>
        <w:rPr>
          <w:lang w:val="en-US" w:eastAsia="x-none" w:bidi="en-US"/>
        </w:rPr>
      </w:pPr>
    </w:p>
    <w:p w14:paraId="0C81C985" w14:textId="77777777" w:rsidR="003B7AF7" w:rsidRPr="00B57ACC" w:rsidRDefault="003B7AF7" w:rsidP="003B7A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B57AC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1)  Kał – badanie na krew utajoną</w:t>
      </w:r>
    </w:p>
    <w:p w14:paraId="6A1CBAA5" w14:textId="77777777" w:rsidR="003B7AF7" w:rsidRPr="00B57ACC" w:rsidRDefault="003B7AF7" w:rsidP="003B7AF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kał należy dostarczyć w jednorazowym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dedykowanym</w:t>
      </w:r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plastikowym pojemniku,</w:t>
      </w:r>
    </w:p>
    <w:p w14:paraId="6B314925" w14:textId="77777777" w:rsidR="003B7AF7" w:rsidRPr="00B57ACC" w:rsidRDefault="003B7AF7" w:rsidP="003B7AF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w pojemniku należy umieścić kilka grudek kału, pobranych z różnych miejsc</w:t>
      </w:r>
    </w:p>
    <w:p w14:paraId="5CCFFE49" w14:textId="77777777" w:rsidR="003B7AF7" w:rsidRPr="00B57ACC" w:rsidRDefault="003B7AF7" w:rsidP="003B7AF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kał do badania nie może zawierać domieszki moczu, wody z lewatywy czy parafiny,</w:t>
      </w:r>
    </w:p>
    <w:p w14:paraId="325B1B73" w14:textId="77777777" w:rsidR="003B7AF7" w:rsidRPr="00B57ACC" w:rsidRDefault="003B7AF7" w:rsidP="003B7AF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zaleca się, aby badania krwi utajonej w kale nie wykonywać w czasie menstruacji, krwawienia z hemoroidów, po spożyciu alkoholu oraz w trakcie leczenia żelazem, salicylanami i innymi lekami, które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mogą drażnić przewód pokarmowy oraz podczas stosowania czopków,</w:t>
      </w:r>
    </w:p>
    <w:p w14:paraId="6C38D7F3" w14:textId="77777777" w:rsidR="003B7AF7" w:rsidRDefault="003B7AF7" w:rsidP="003B7AF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podpisany imieniem i nazwiskiem pojemnik z kałem należy dostarczyć do laboratorium w godzinach rannych, jak najszybciej od zebrania materiału </w:t>
      </w:r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br/>
        <w:t>(kał można przechować w lodówce do następnego dnia)</w:t>
      </w:r>
    </w:p>
    <w:p w14:paraId="5BC188ED" w14:textId="77777777" w:rsidR="003B7AF7" w:rsidRPr="00B57ACC" w:rsidRDefault="003B7AF7" w:rsidP="003B7AF7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br/>
      </w:r>
    </w:p>
    <w:p w14:paraId="2AAECB7C" w14:textId="77777777" w:rsidR="003B7AF7" w:rsidRPr="00B57ACC" w:rsidRDefault="003B7AF7" w:rsidP="003B7A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B57AC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  2)  Kał – oznaczenie </w:t>
      </w:r>
      <w:proofErr w:type="spellStart"/>
      <w:r w:rsidRPr="00B57AC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kalprotektyny</w:t>
      </w:r>
      <w:proofErr w:type="spellEnd"/>
    </w:p>
    <w:p w14:paraId="0EC1104B" w14:textId="77777777" w:rsidR="003B7AF7" w:rsidRPr="00B57ACC" w:rsidRDefault="003B7AF7" w:rsidP="003B7AF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kał należy dostarczyć w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dedykowanym </w:t>
      </w:r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jednorazowym </w:t>
      </w:r>
      <w:r w:rsidRPr="00B57AC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jałowym </w:t>
      </w:r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plastikowym pojemniku, </w:t>
      </w:r>
    </w:p>
    <w:p w14:paraId="1F9AC239" w14:textId="77777777" w:rsidR="003B7AF7" w:rsidRPr="00B57ACC" w:rsidRDefault="003B7AF7" w:rsidP="003B7AF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B57AC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kał do badania musi być wolny od wszelkiego rodzaju dodatków chemicznych (np. substancji służących do czyszczenia muszli klozetowych, środków zapachowych) oraz biologicznych (np. dodawanych do niektórych typów pojemników</w:t>
      </w:r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)</w:t>
      </w:r>
    </w:p>
    <w:p w14:paraId="0F19C84C" w14:textId="77777777" w:rsidR="003B7AF7" w:rsidRPr="00B57ACC" w:rsidRDefault="003B7AF7" w:rsidP="003B7AF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kał do badania nie może zawierać domieszki moczu, wody z lewatywy czy parafiny,</w:t>
      </w:r>
    </w:p>
    <w:p w14:paraId="6B25B8F0" w14:textId="77777777" w:rsidR="003B7AF7" w:rsidRPr="00B57ACC" w:rsidRDefault="003B7AF7" w:rsidP="003B7AF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w pojemniku należy umieścić kilka grudek kału, pobranych z różnych miejsc,</w:t>
      </w:r>
    </w:p>
    <w:p w14:paraId="2134CB45" w14:textId="77777777" w:rsidR="003B7AF7" w:rsidRPr="00B57ACC" w:rsidRDefault="003B7AF7" w:rsidP="003B7AF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zaleca się, aby badanie </w:t>
      </w:r>
      <w:proofErr w:type="spellStart"/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kalprotektyny</w:t>
      </w:r>
      <w:proofErr w:type="spellEnd"/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wykonywać w kale porannym,</w:t>
      </w:r>
    </w:p>
    <w:p w14:paraId="0166E81E" w14:textId="77777777" w:rsidR="003B7AF7" w:rsidRPr="00B57ACC" w:rsidRDefault="003B7AF7" w:rsidP="003B7AF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zaleca się, aby badanie </w:t>
      </w:r>
      <w:proofErr w:type="spellStart"/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kalprotektyny</w:t>
      </w:r>
      <w:proofErr w:type="spellEnd"/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w kale nie wykonywać w czasie menstruacji, krwawienia z hemoroidów, po spożyciu alkoholu oraz w trakcie leczenia salicylanami i innymi lekami, które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mogą drażnić przewód pokarmowy oraz podczas stosowania czopków, </w:t>
      </w:r>
    </w:p>
    <w:p w14:paraId="63E37667" w14:textId="77777777" w:rsidR="003B7AF7" w:rsidRDefault="003B7AF7" w:rsidP="003B7AF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podpisany imieniem i nazwiskiem pojemnik należy dostarczyć do laboratorium </w:t>
      </w:r>
      <w:r w:rsidRPr="00B57ACC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br/>
        <w:t>w godzinach rannych, jak najszybciej od zebrania materiału (kał można przechować w lodówce do następnego dnia).</w:t>
      </w:r>
    </w:p>
    <w:p w14:paraId="28422D67" w14:textId="7227B461" w:rsidR="003B7AF7" w:rsidRPr="00F0234E" w:rsidRDefault="003B7AF7" w:rsidP="003B7AF7">
      <w:pPr>
        <w:rPr>
          <w:lang w:eastAsia="pl-PL"/>
        </w:rPr>
      </w:pPr>
    </w:p>
    <w:sectPr w:rsidR="003B7AF7" w:rsidRPr="00F02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A47F2"/>
    <w:multiLevelType w:val="hybridMultilevel"/>
    <w:tmpl w:val="B8D8E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C48E7"/>
    <w:multiLevelType w:val="hybridMultilevel"/>
    <w:tmpl w:val="1342137A"/>
    <w:lvl w:ilvl="0" w:tplc="FB8CB12E">
      <w:start w:val="1"/>
      <w:numFmt w:val="bullet"/>
      <w:lvlText w:val="-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4A1B36CE"/>
    <w:multiLevelType w:val="hybridMultilevel"/>
    <w:tmpl w:val="9BA22E1E"/>
    <w:lvl w:ilvl="0" w:tplc="FB8CB12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B130E"/>
    <w:multiLevelType w:val="hybridMultilevel"/>
    <w:tmpl w:val="4F307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486112">
    <w:abstractNumId w:val="3"/>
  </w:num>
  <w:num w:numId="2" w16cid:durableId="2020697606">
    <w:abstractNumId w:val="0"/>
  </w:num>
  <w:num w:numId="3" w16cid:durableId="961158488">
    <w:abstractNumId w:val="1"/>
  </w:num>
  <w:num w:numId="4" w16cid:durableId="1034617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AF7"/>
    <w:rsid w:val="001E538F"/>
    <w:rsid w:val="00221ABC"/>
    <w:rsid w:val="003B7AF7"/>
    <w:rsid w:val="009500B2"/>
    <w:rsid w:val="00DB69B5"/>
    <w:rsid w:val="00F2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338D0"/>
  <w15:chartTrackingRefBased/>
  <w15:docId w15:val="{D581ECD7-7D2D-4981-9288-B568D5DD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AF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7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B7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B7AF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B7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B7AF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7A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7A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7A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7A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7A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B7A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7A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7AF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7AF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7A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7A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7A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7A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7A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7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7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7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7A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7A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7AF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7A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7AF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7AF7"/>
    <w:rPr>
      <w:b/>
      <w:bCs/>
      <w:smallCaps/>
      <w:color w:val="2E74B5" w:themeColor="accent1" w:themeShade="BF"/>
      <w:spacing w:val="5"/>
    </w:rPr>
  </w:style>
  <w:style w:type="character" w:styleId="Pogrubienie">
    <w:name w:val="Strong"/>
    <w:uiPriority w:val="22"/>
    <w:qFormat/>
    <w:rsid w:val="003B7A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1496</Characters>
  <Application>Microsoft Office Word</Application>
  <DocSecurity>0</DocSecurity>
  <Lines>12</Lines>
  <Paragraphs>3</Paragraphs>
  <ScaleCrop>false</ScaleCrop>
  <Company>Szpital Uniwersytecki w Krakowie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Ozimkiewicz</dc:creator>
  <cp:keywords/>
  <dc:description/>
  <cp:lastModifiedBy>Zofia Ozimkiewicz</cp:lastModifiedBy>
  <cp:revision>2</cp:revision>
  <dcterms:created xsi:type="dcterms:W3CDTF">2026-07-22T11:45:00Z</dcterms:created>
  <dcterms:modified xsi:type="dcterms:W3CDTF">2026-07-22T11:49:00Z</dcterms:modified>
</cp:coreProperties>
</file>