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796AE6F0" w:rsidR="004474F5" w:rsidRPr="004474F5" w:rsidRDefault="005D6322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NSSU.DFP.271.54</w:t>
      </w:r>
      <w:r w:rsidR="004474F5" w:rsidRPr="004474F5">
        <w:rPr>
          <w:rFonts w:ascii="Garamond" w:eastAsia="Times New Roman" w:hAnsi="Garamond" w:cs="Times New Roman"/>
          <w:lang w:eastAsia="pl-PL"/>
        </w:rPr>
        <w:t>.2019.LS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7B2950BA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5D6322" w:rsidRPr="005D6322">
        <w:rPr>
          <w:rFonts w:ascii="Garamond" w:eastAsia="Calibri" w:hAnsi="Garamond" w:cs="Times New Roman"/>
          <w:bCs/>
          <w:sz w:val="20"/>
          <w:szCs w:val="20"/>
        </w:rPr>
        <w:t>dostawę urządzeń laboratoryjnych dla Zakładu Diagnostyki w Nowej Siedzibie Szpitala Uniwersyteckiego (NSSU) wraz z instalacją, uruchomieniem i szkoleniem personelu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>
      <w:bookmarkStart w:id="0" w:name="_GoBack"/>
      <w:bookmarkEnd w:id="0"/>
    </w:p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D144B" w14:textId="77777777" w:rsidR="00F33F12" w:rsidRDefault="00F33F12" w:rsidP="00D51F14">
      <w:pPr>
        <w:spacing w:after="0" w:line="240" w:lineRule="auto"/>
      </w:pPr>
      <w:r>
        <w:separator/>
      </w:r>
    </w:p>
  </w:endnote>
  <w:endnote w:type="continuationSeparator" w:id="0">
    <w:p w14:paraId="7278B67D" w14:textId="77777777" w:rsidR="00F33F12" w:rsidRDefault="00F33F12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22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21EE1" w14:textId="77777777" w:rsidR="00F33F12" w:rsidRDefault="00F33F12" w:rsidP="00D51F14">
      <w:pPr>
        <w:spacing w:after="0" w:line="240" w:lineRule="auto"/>
      </w:pPr>
      <w:r>
        <w:separator/>
      </w:r>
    </w:p>
  </w:footnote>
  <w:footnote w:type="continuationSeparator" w:id="0">
    <w:p w14:paraId="38354D10" w14:textId="77777777" w:rsidR="00F33F12" w:rsidRDefault="00F33F12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D6322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33F1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B5BD-12BA-4523-A9EB-841AA0B2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4</cp:revision>
  <cp:lastPrinted>2019-07-23T07:04:00Z</cp:lastPrinted>
  <dcterms:created xsi:type="dcterms:W3CDTF">2019-07-01T09:53:00Z</dcterms:created>
  <dcterms:modified xsi:type="dcterms:W3CDTF">2019-07-23T07:04:00Z</dcterms:modified>
</cp:coreProperties>
</file>