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F2" w:rsidRPr="00365712" w:rsidRDefault="001376F2" w:rsidP="00A218EF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1261A" w:rsidRPr="00A1261A">
        <w:rPr>
          <w:rFonts w:ascii="Garamond" w:hAnsi="Garamond" w:cs="Arial"/>
          <w:i/>
          <w:sz w:val="22"/>
          <w:szCs w:val="22"/>
        </w:rPr>
        <w:t>na</w:t>
      </w:r>
      <w:r w:rsidR="00A1261A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A218EF" w:rsidRPr="00A218EF">
        <w:rPr>
          <w:rFonts w:ascii="Garamond" w:hAnsi="Garamond"/>
          <w:i/>
          <w:sz w:val="22"/>
          <w:szCs w:val="22"/>
        </w:rPr>
        <w:t>dzierżawę</w:t>
      </w:r>
      <w:r w:rsidR="00A218EF" w:rsidRPr="00A218EF">
        <w:rPr>
          <w:rFonts w:ascii="Garamond" w:hAnsi="Garamond"/>
          <w:i/>
          <w:sz w:val="22"/>
          <w:szCs w:val="22"/>
        </w:rPr>
        <w:t xml:space="preserve"> pomp do żywienia wraz z dostawą materiałów jednorazowych.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A218EF" w:rsidRPr="00A218EF">
        <w:rPr>
          <w:rFonts w:ascii="Garamond" w:hAnsi="Garamond"/>
          <w:i/>
        </w:rPr>
        <w:t xml:space="preserve"> </w:t>
      </w:r>
      <w:r w:rsidR="00A218EF" w:rsidRPr="00A218EF">
        <w:rPr>
          <w:rFonts w:ascii="Garamond" w:hAnsi="Garamond"/>
          <w:i/>
        </w:rPr>
        <w:t>dzierżawę pomp do żywienia wraz z d</w:t>
      </w:r>
      <w:r w:rsidR="00A218EF">
        <w:rPr>
          <w:rFonts w:ascii="Garamond" w:hAnsi="Garamond"/>
          <w:i/>
        </w:rPr>
        <w:t>ostawą materiałów jednorazowych</w:t>
      </w:r>
      <w:r w:rsidR="001376F2" w:rsidRPr="001376F2">
        <w:rPr>
          <w:rFonts w:ascii="Garamond" w:hAnsi="Garamond" w:cs="Arial"/>
        </w:rPr>
        <w:t xml:space="preserve"> </w:t>
      </w:r>
      <w:r w:rsidR="00032E3F" w:rsidRPr="001376F2">
        <w:rPr>
          <w:rFonts w:ascii="Garamond" w:hAnsi="Garamond" w:cs="Arial"/>
        </w:rPr>
        <w:t xml:space="preserve">prowadzonym w trybie </w:t>
      </w:r>
      <w:r w:rsidR="001376F2" w:rsidRPr="001376F2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>
        <w:rPr>
          <w:rFonts w:ascii="Garamond" w:eastAsia="Times New Roman" w:hAnsi="Garamond" w:cs="Arial"/>
          <w:lang w:eastAsia="pl-PL"/>
        </w:rPr>
        <w:t>Pzp,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9" w:rsidRDefault="003336C9" w:rsidP="00B62535">
      <w:pPr>
        <w:spacing w:after="0" w:line="240" w:lineRule="auto"/>
      </w:pPr>
      <w:r>
        <w:separator/>
      </w:r>
    </w:p>
  </w:endnote>
  <w:endnote w:type="continuationSeparator" w:id="0">
    <w:p w:rsidR="003336C9" w:rsidRDefault="003336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8E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9" w:rsidRDefault="003336C9" w:rsidP="00B62535">
      <w:pPr>
        <w:spacing w:after="0" w:line="240" w:lineRule="auto"/>
      </w:pPr>
      <w:r>
        <w:separator/>
      </w:r>
    </w:p>
  </w:footnote>
  <w:footnote w:type="continuationSeparator" w:id="0">
    <w:p w:rsidR="003336C9" w:rsidRDefault="003336C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336C9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218EF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91D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9BCE-4818-431C-BCF8-C1F9090E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2018-08-01T12:46:00Z</dcterms:created>
  <dcterms:modified xsi:type="dcterms:W3CDTF">2018-08-01T12:46:00Z</dcterms:modified>
</cp:coreProperties>
</file>