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F" w:rsidRDefault="00BD363F" w:rsidP="00BD363F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D363F" w:rsidRDefault="005264C7" w:rsidP="00BD363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Komora laminarna z zintegrowanymi mikroskopami</w:t>
      </w:r>
      <w:r w:rsidR="00324C8B">
        <w:rPr>
          <w:rFonts w:ascii="Century Gothic" w:hAnsi="Century Gothic"/>
          <w:b/>
          <w:u w:val="single"/>
        </w:rPr>
        <w:t xml:space="preserve"> stereoskopowymi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D363F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Parametry o określonych warunkach liczbowych ( „=&gt;”  lub „&lt;=” ) są warunkami granicznymi, których niespełnienie spowoduje odrzucenie oferty. </w:t>
      </w:r>
      <w:r>
        <w:rPr>
          <w:rFonts w:ascii="Century Gothic" w:hAnsi="Century Gothic"/>
          <w:sz w:val="18"/>
          <w:szCs w:val="18"/>
        </w:rPr>
        <w:t>Wartość podana przy w/w oznaczeniach oznacza wartość wymaganą.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Rok produkcji (min. 2017): …..............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235743" w:rsidRDefault="00BD363F" w:rsidP="00BD363F">
      <w:pPr>
        <w:pStyle w:val="Standard"/>
        <w:rPr>
          <w:rFonts w:ascii="Century Gothic" w:hAnsi="Century Gothic"/>
          <w:strike/>
          <w:color w:val="FF0000"/>
          <w:sz w:val="20"/>
          <w:szCs w:val="20"/>
        </w:rPr>
      </w:pPr>
      <w:r w:rsidRPr="00235743">
        <w:rPr>
          <w:rFonts w:ascii="Century Gothic" w:hAnsi="Century Gothic"/>
          <w:strike/>
          <w:color w:val="FF0000"/>
          <w:sz w:val="20"/>
          <w:szCs w:val="20"/>
        </w:rPr>
        <w:t>Klasa wyrobu medycznego: ..................</w:t>
      </w:r>
    </w:p>
    <w:tbl>
      <w:tblPr>
        <w:tblW w:w="8097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707"/>
        <w:gridCol w:w="1932"/>
        <w:gridCol w:w="1619"/>
      </w:tblGrid>
      <w:tr w:rsidR="00AC5BFE" w:rsidRPr="00A9024A" w:rsidTr="00AC5BFE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Nazwa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Ilość sztuk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Cena 1 szt.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Wartość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  <w:p w:rsidR="00AC5BFE" w:rsidRPr="00A9024A" w:rsidRDefault="00AC5BFE" w:rsidP="005B68E7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(kol. 2 x kol. 3)</w:t>
            </w:r>
          </w:p>
        </w:tc>
      </w:tr>
      <w:tr w:rsidR="00AC5BFE" w:rsidRPr="00A9024A" w:rsidTr="00AC5BFE">
        <w:trPr>
          <w:trHeight w:val="7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4</w:t>
            </w: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Komora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Mikroskop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Koszt dostawy i instalacji (wraz ze szkoleniem)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5B68E7">
        <w:trPr>
          <w:trHeight w:val="527"/>
        </w:trPr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right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Razem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BD363F" w:rsidRPr="005F3142" w:rsidRDefault="00BD363F" w:rsidP="00BD363F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BD363F" w:rsidRDefault="00BD363F" w:rsidP="00BD36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214"/>
      </w:tblGrid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hAnsi="Century Gothic"/>
                <w:sz w:val="16"/>
                <w:szCs w:val="16"/>
              </w:rPr>
              <w:t>l.p.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przedmiot  zamówienia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Komora laminarna klasy II o długości 180 cm, dwustanowiskowa ,  wyposażona w 2 elektrycznie ogrzewane,powierzchnie pracy. Komora, wyposażona w monitor, 2 źródła światła, 2 gniazda elektryczne, lampę UV oraz podstawę z możliwością regulacji w zakresie 80-85 cm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2 x Mikroskop stereoskopowy zintegrowany z komorą laminarną; jeden z mikroskopów wyposażony w wyjściem na kamerę</w:t>
            </w:r>
          </w:p>
        </w:tc>
      </w:tr>
    </w:tbl>
    <w:p w:rsidR="00830A5C" w:rsidRDefault="00830A5C" w:rsidP="00BD363F"/>
    <w:p w:rsidR="00BD363F" w:rsidRDefault="00BD363F" w:rsidP="00BD363F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 xml:space="preserve">Parametry techniczne i eksploatacyjne </w:t>
      </w:r>
    </w:p>
    <w:p w:rsidR="005264C7" w:rsidRDefault="005264C7" w:rsidP="00BD363F">
      <w:pPr>
        <w:rPr>
          <w:rFonts w:ascii="Century Gothic" w:hAnsi="Century Gothic"/>
          <w:b/>
        </w:rPr>
      </w:pPr>
    </w:p>
    <w:tbl>
      <w:tblPr>
        <w:tblW w:w="1375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3119"/>
      </w:tblGrid>
      <w:tr w:rsidR="00781DC0" w:rsidTr="00324C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Parametr oferowany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5264C7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Sprzęt 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opisany poniżej (dotyczy wszystkich pozycji)- umożliwiający wykonywanie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zmodyfikowanej procedury dojajowodowego podania gamet (GIFT – Gamete Intrafallopian Transfer).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AB3A90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AB3A90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KOMORA LAMINARNA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Komora laminarna klasy II o długości 180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komora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dwustanowiskowa ,  wyposa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żona w min. 2 elektrycznie ogrzewane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powierzchnie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Komora, wyposażona w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: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monitor, 2 źródła światła, 2 gniazda elektryczne, lampę UV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Filtr  klasy min. HEPA H-14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klasa wymagana – 0 pkt., wyższa niż wymagana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odstaw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a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z możliwością regulacji w zakresie 80-85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zakres wymagany – 0 pkt. wyższy niż </w:t>
            </w: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wymagany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MIKROSKOP STEREOSKOPOWY – 2 SZT.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Mikroskopy stereoskopowe </w:t>
            </w: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- Zintegrowane z komorą laminarną 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Min. 1 szt. z 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>mikroskopów posiada</w:t>
            </w: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>jący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 wyjście na kamerę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ikroskopy z głowicą zoom min. 7.5X i dystansem pracy 115 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[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mm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]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 , +/- 5 %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powiększenie wymagane – 0 pkt., wyższe niż wymagane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Fonts w:ascii="Century Gothic" w:hAnsi="Century Gothic"/>
                <w:color w:val="00000A"/>
                <w:sz w:val="16"/>
                <w:szCs w:val="16"/>
              </w:rPr>
              <w:t>R</w:t>
            </w: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ozstaw regulacji min. 52-72 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324C8B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zakres wymagany – 0 pkt. wyższy niż wymagany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N</w:t>
            </w:r>
            <w:r w:rsidRPr="00AB3A90">
              <w:rPr>
                <w:rFonts w:ascii="Century Gothic" w:hAnsi="Century Gothic"/>
                <w:color w:val="auto"/>
                <w:sz w:val="16"/>
                <w:szCs w:val="16"/>
              </w:rPr>
              <w:t>achylenie okularu 45 stopni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A47C81" w:rsidRDefault="00A47C81" w:rsidP="00A47C81"/>
    <w:p w:rsidR="00386BDE" w:rsidRDefault="00386BDE"/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Warunki gwarancji i serwisu </w:t>
      </w:r>
    </w:p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3750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3118"/>
      </w:tblGrid>
      <w:tr w:rsidR="00BD363F" w:rsidTr="00324C8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oferowany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&gt;= 12,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24 miesiące i więcej – 5 pkt.</w:t>
            </w:r>
          </w:p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min.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8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BD363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A335D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UWAGA – wykonawcę obowiązuje wykonywanie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5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 xml:space="preserve">itp. </w:t>
            </w:r>
            <w:r w:rsidR="00A335DB">
              <w:rPr>
                <w:rFonts w:ascii="Century Gothic" w:hAnsi="Century Gothic" w:cstheme="minorHAnsi"/>
                <w:sz w:val="16"/>
                <w:szCs w:val="16"/>
              </w:rPr>
              <w:t xml:space="preserve">również 8 osób,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) z zakresu diagnostyki stanu technicznego i wykonywania czynności konserwacyjnych, naprawczych i przeglądowych;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>itp., również 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 xml:space="preserve">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781DC0" w:rsidRDefault="00781DC0"/>
    <w:sectPr w:rsidR="00781DC0" w:rsidSect="00A47C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36" w:rsidRDefault="00BE7636" w:rsidP="003B56B0">
      <w:r>
        <w:separator/>
      </w:r>
    </w:p>
  </w:endnote>
  <w:endnote w:type="continuationSeparator" w:id="0">
    <w:p w:rsidR="00BE7636" w:rsidRDefault="00BE7636" w:rsidP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2370"/>
      <w:docPartObj>
        <w:docPartGallery w:val="Page Numbers (Bottom of Page)"/>
        <w:docPartUnique/>
      </w:docPartObj>
    </w:sdtPr>
    <w:sdtEndPr/>
    <w:sdtContent>
      <w:p w:rsidR="003B56B0" w:rsidRDefault="00FE731C" w:rsidP="00FE731C">
        <w:pPr>
          <w:pStyle w:val="Stopka"/>
          <w:jc w:val="center"/>
        </w:pPr>
        <w:r>
          <w:rPr>
            <w:lang w:val="pl-PL"/>
          </w:rPr>
          <w:t xml:space="preserve">Pieczęć i podpis osoby (osób) upoważnionej do reprezentowania Wykonawcy </w:t>
        </w:r>
        <w:r>
          <w:rPr>
            <w:lang w:val="pl-PL"/>
          </w:rPr>
          <w:tab/>
        </w:r>
        <w:r w:rsidR="003B56B0">
          <w:fldChar w:fldCharType="begin"/>
        </w:r>
        <w:r w:rsidR="003B56B0">
          <w:instrText>PAGE   \* MERGEFORMAT</w:instrText>
        </w:r>
        <w:r w:rsidR="003B56B0">
          <w:fldChar w:fldCharType="separate"/>
        </w:r>
        <w:r w:rsidR="00FE5A07" w:rsidRPr="00FE5A07">
          <w:rPr>
            <w:noProof/>
            <w:lang w:val="pl-PL"/>
          </w:rPr>
          <w:t>1</w:t>
        </w:r>
        <w:r w:rsidR="003B56B0">
          <w:fldChar w:fldCharType="end"/>
        </w:r>
      </w:p>
    </w:sdtContent>
  </w:sdt>
  <w:p w:rsidR="003B56B0" w:rsidRDefault="003B5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36" w:rsidRDefault="00BE7636" w:rsidP="003B56B0">
      <w:r>
        <w:separator/>
      </w:r>
    </w:p>
  </w:footnote>
  <w:footnote w:type="continuationSeparator" w:id="0">
    <w:p w:rsidR="00BE7636" w:rsidRDefault="00BE7636" w:rsidP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>DFZP-EK-271-216/2017                                                                                                                                                Załącznik 1a do Specyfikacji</w:t>
    </w:r>
  </w:p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 xml:space="preserve">                                                                                                                                                                               Załącznik nr … do umowy nr 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B"/>
    <w:rsid w:val="00022303"/>
    <w:rsid w:val="000566CA"/>
    <w:rsid w:val="0010511E"/>
    <w:rsid w:val="0013711A"/>
    <w:rsid w:val="001E2C76"/>
    <w:rsid w:val="00201897"/>
    <w:rsid w:val="0020470F"/>
    <w:rsid w:val="00235743"/>
    <w:rsid w:val="00324C8B"/>
    <w:rsid w:val="0033181A"/>
    <w:rsid w:val="003848FE"/>
    <w:rsid w:val="00386BDE"/>
    <w:rsid w:val="003B56B0"/>
    <w:rsid w:val="004608DE"/>
    <w:rsid w:val="004D1BD9"/>
    <w:rsid w:val="004F3EE6"/>
    <w:rsid w:val="004F7041"/>
    <w:rsid w:val="00500A83"/>
    <w:rsid w:val="005264C7"/>
    <w:rsid w:val="005428E2"/>
    <w:rsid w:val="0063656F"/>
    <w:rsid w:val="00760A0D"/>
    <w:rsid w:val="00781DC0"/>
    <w:rsid w:val="007E60F0"/>
    <w:rsid w:val="0081526C"/>
    <w:rsid w:val="00830A5C"/>
    <w:rsid w:val="008570A5"/>
    <w:rsid w:val="00935E93"/>
    <w:rsid w:val="0095241F"/>
    <w:rsid w:val="009F2089"/>
    <w:rsid w:val="00A24EBB"/>
    <w:rsid w:val="00A335DB"/>
    <w:rsid w:val="00A47C81"/>
    <w:rsid w:val="00AA3646"/>
    <w:rsid w:val="00AB3627"/>
    <w:rsid w:val="00AB3A90"/>
    <w:rsid w:val="00AC1F94"/>
    <w:rsid w:val="00AC5BFE"/>
    <w:rsid w:val="00BA6F0E"/>
    <w:rsid w:val="00BD363F"/>
    <w:rsid w:val="00BE7636"/>
    <w:rsid w:val="00BF1AC2"/>
    <w:rsid w:val="00CC615B"/>
    <w:rsid w:val="00D00F44"/>
    <w:rsid w:val="00E70C4D"/>
    <w:rsid w:val="00EE554B"/>
    <w:rsid w:val="00F546EB"/>
    <w:rsid w:val="00FE5A07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4B05-35B4-4E15-B465-E9C4BCF9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2</cp:revision>
  <cp:lastPrinted>2017-11-14T11:55:00Z</cp:lastPrinted>
  <dcterms:created xsi:type="dcterms:W3CDTF">2017-11-14T13:32:00Z</dcterms:created>
  <dcterms:modified xsi:type="dcterms:W3CDTF">2017-11-14T13:32:00Z</dcterms:modified>
</cp:coreProperties>
</file>