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ED5CC7">
        <w:rPr>
          <w:rFonts w:ascii="Garamond" w:eastAsia="Times New Roman" w:hAnsi="Garamond"/>
          <w:lang w:eastAsia="pl-PL"/>
        </w:rPr>
        <w:t>04.</w:t>
      </w:r>
      <w:bookmarkStart w:id="0" w:name="_GoBack"/>
      <w:bookmarkEnd w:id="0"/>
      <w:r w:rsidR="00884C08">
        <w:rPr>
          <w:rFonts w:ascii="Garamond" w:eastAsia="Times New Roman" w:hAnsi="Garamond"/>
          <w:lang w:eastAsia="pl-PL"/>
        </w:rPr>
        <w:t>12</w:t>
      </w:r>
      <w:r>
        <w:rPr>
          <w:rFonts w:ascii="Garamond" w:eastAsia="Times New Roman" w:hAnsi="Garamond"/>
          <w:lang w:eastAsia="pl-PL"/>
        </w:rPr>
        <w:t>.2019</w:t>
      </w:r>
      <w:r w:rsidRPr="00DC2D57">
        <w:rPr>
          <w:rFonts w:ascii="Garamond" w:eastAsia="Times New Roman" w:hAnsi="Garamond"/>
          <w:lang w:eastAsia="pl-PL"/>
        </w:rPr>
        <w:t xml:space="preserve"> r.</w:t>
      </w:r>
    </w:p>
    <w:p w:rsidR="00DE75FD" w:rsidRPr="00DC2D57" w:rsidRDefault="00884C08" w:rsidP="00DE75FD">
      <w:pPr>
        <w:spacing w:after="0" w:line="240" w:lineRule="auto"/>
        <w:rPr>
          <w:rFonts w:ascii="Garamond" w:eastAsia="Times New Roman" w:hAnsi="Garamond"/>
          <w:lang w:eastAsia="pl-PL"/>
        </w:rPr>
      </w:pPr>
      <w:r>
        <w:rPr>
          <w:rFonts w:ascii="Garamond" w:eastAsia="Times New Roman" w:hAnsi="Garamond"/>
          <w:lang w:eastAsia="pl-PL"/>
        </w:rPr>
        <w:t>Nr sprawy: DFP.271.91</w:t>
      </w:r>
      <w:r w:rsidR="00DE75FD">
        <w:rPr>
          <w:rFonts w:ascii="Garamond" w:eastAsia="Times New Roman" w:hAnsi="Garamond"/>
          <w:lang w:eastAsia="pl-PL"/>
        </w:rPr>
        <w:t>.2019</w:t>
      </w:r>
      <w:r w:rsidR="00DE75FD" w:rsidRPr="00447467">
        <w:rPr>
          <w:rFonts w:ascii="Garamond" w:eastAsia="Times New Roman" w:hAnsi="Garamond"/>
          <w:lang w:eastAsia="pl-PL"/>
        </w:rPr>
        <w:t>.LS</w:t>
      </w:r>
    </w:p>
    <w:p w:rsidR="00DE75FD" w:rsidRDefault="00DE75FD" w:rsidP="00DE75FD">
      <w:pPr>
        <w:spacing w:after="0" w:line="240" w:lineRule="auto"/>
        <w:jc w:val="both"/>
        <w:rPr>
          <w:rFonts w:ascii="Garamond" w:eastAsia="Times New Roman" w:hAnsi="Garamond"/>
          <w:i/>
          <w:lang w:eastAsia="pl-PL"/>
        </w:rPr>
      </w:pPr>
    </w:p>
    <w:p w:rsidR="00DE75FD" w:rsidRPr="00DC2D57" w:rsidRDefault="00DE75FD"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Default="00DE75FD" w:rsidP="00DE75FD">
      <w:pPr>
        <w:spacing w:after="0" w:line="240" w:lineRule="auto"/>
        <w:jc w:val="right"/>
        <w:rPr>
          <w:rFonts w:ascii="Garamond" w:eastAsia="Times New Roman" w:hAnsi="Garamond"/>
          <w:b/>
          <w:bCs/>
          <w:i/>
          <w:sz w:val="24"/>
          <w:szCs w:val="24"/>
          <w:lang w:eastAsia="pl-PL"/>
        </w:rPr>
      </w:pPr>
    </w:p>
    <w:p w:rsidR="00DE75FD" w:rsidRPr="00DE75FD" w:rsidRDefault="00DE75FD" w:rsidP="00DE75FD">
      <w:pPr>
        <w:spacing w:after="0" w:line="240" w:lineRule="auto"/>
        <w:jc w:val="right"/>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884C08" w:rsidRPr="00884C08">
        <w:rPr>
          <w:rFonts w:ascii="Garamond" w:eastAsia="Times New Roman" w:hAnsi="Garamond"/>
          <w:bCs/>
          <w:iCs/>
          <w:color w:val="000000"/>
          <w:sz w:val="20"/>
          <w:szCs w:val="20"/>
          <w:lang w:eastAsia="pl-PL"/>
        </w:rPr>
        <w:t>dostawę produktów leczniczych, produktów leczniczych z Programów Lekowych i wyrobów medycznych do Apteki Szpitala Uniwersyteckiego w Krakowie</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DE75FD" w:rsidP="00DE75FD">
      <w:pPr>
        <w:spacing w:after="0" w:line="240" w:lineRule="auto"/>
        <w:ind w:firstLine="426"/>
        <w:jc w:val="both"/>
        <w:rPr>
          <w:rFonts w:ascii="Garamond" w:eastAsia="Times New Roman" w:hAnsi="Garamond"/>
          <w:b/>
          <w:bCs/>
          <w:szCs w:val="20"/>
          <w:lang w:eastAsia="pl-PL"/>
        </w:rPr>
      </w:pPr>
      <w:r w:rsidRPr="00DC2D57">
        <w:rPr>
          <w:rFonts w:ascii="Garamond" w:eastAsia="Times New Roman" w:hAnsi="Garamond"/>
          <w:lang w:eastAsia="pl-PL"/>
        </w:rPr>
        <w:t xml:space="preserve">Zgodnie z art. 38 ust. 2 i 4 ustawy Prawo zamówień publicznych przekazuję odpowiedzi na pytania wykonawców dotyczące treści specyfikacji istotnych warunków zamówienia i modyfikuję specyfikację. </w:t>
      </w:r>
    </w:p>
    <w:p w:rsidR="00DE75FD" w:rsidRDefault="00DE75FD" w:rsidP="00DE75FD">
      <w:pPr>
        <w:spacing w:after="0" w:line="240" w:lineRule="auto"/>
        <w:jc w:val="both"/>
        <w:rPr>
          <w:rFonts w:ascii="Garamond" w:eastAsia="Times New Roman" w:hAnsi="Garamond"/>
          <w:b/>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884C08" w:rsidRPr="00884C08" w:rsidRDefault="00884C08" w:rsidP="00884C08">
      <w:pPr>
        <w:spacing w:after="0" w:line="240" w:lineRule="auto"/>
        <w:jc w:val="both"/>
        <w:rPr>
          <w:rFonts w:ascii="Garamond" w:eastAsia="Times New Roman" w:hAnsi="Garamond"/>
          <w:bCs/>
          <w:lang w:eastAsia="pl-PL"/>
        </w:rPr>
      </w:pPr>
      <w:r w:rsidRPr="00884C08">
        <w:rPr>
          <w:rFonts w:ascii="Garamond" w:eastAsia="Times New Roman" w:hAnsi="Garamond"/>
          <w:bCs/>
          <w:lang w:eastAsia="pl-PL"/>
        </w:rPr>
        <w:t xml:space="preserve">Czy Zamawiający wydzieli do osobnej Części produkt z Części 24 poz. 9 i dopuści: </w:t>
      </w:r>
    </w:p>
    <w:p w:rsidR="00884C08" w:rsidRPr="00884C08" w:rsidRDefault="00884C08" w:rsidP="00884C08">
      <w:pPr>
        <w:spacing w:after="0" w:line="240" w:lineRule="auto"/>
        <w:jc w:val="both"/>
        <w:rPr>
          <w:rFonts w:ascii="Garamond" w:eastAsia="Times New Roman" w:hAnsi="Garamond"/>
          <w:bCs/>
          <w:lang w:eastAsia="pl-PL"/>
        </w:rPr>
      </w:pPr>
      <w:r w:rsidRPr="00884C08">
        <w:rPr>
          <w:rFonts w:ascii="Garamond" w:eastAsia="Times New Roman" w:hAnsi="Garamond"/>
          <w:bCs/>
          <w:lang w:eastAsia="pl-PL"/>
        </w:rPr>
        <w:t xml:space="preserve">Gaziki celulozowo-wiskozowo-poliestrowe wykonane z wysokogatunkowej włókniny o gramaturze 70g/m2, nasączone 70% alkoholem izopropylowym, rozmiar złożonego gazika 4x4,5cm, a rozłożonego 9x12cm, trzykrotnie złożone, 6 warstw, pakowane pojedynczo w saszetki, 100szt. saszetek w opakowaniu zbiorczym- kartoniku? </w:t>
      </w:r>
    </w:p>
    <w:p w:rsidR="00884C08" w:rsidRPr="00884C08" w:rsidRDefault="00884C08" w:rsidP="00884C08">
      <w:pPr>
        <w:spacing w:after="0" w:line="240" w:lineRule="auto"/>
        <w:jc w:val="both"/>
        <w:rPr>
          <w:rFonts w:ascii="Garamond" w:eastAsia="Times New Roman" w:hAnsi="Garamond"/>
          <w:bCs/>
          <w:lang w:eastAsia="pl-PL"/>
        </w:rPr>
      </w:pPr>
      <w:r w:rsidRPr="00884C08">
        <w:rPr>
          <w:rFonts w:ascii="Garamond" w:eastAsia="Times New Roman" w:hAnsi="Garamond"/>
          <w:bCs/>
          <w:lang w:eastAsia="pl-PL"/>
        </w:rPr>
        <w:t xml:space="preserve">lub </w:t>
      </w:r>
    </w:p>
    <w:p w:rsidR="00DE75FD" w:rsidRPr="00DE75FD" w:rsidRDefault="00884C08" w:rsidP="00884C08">
      <w:pPr>
        <w:spacing w:after="0" w:line="240" w:lineRule="auto"/>
        <w:jc w:val="both"/>
        <w:rPr>
          <w:rFonts w:ascii="Garamond" w:eastAsia="Times New Roman" w:hAnsi="Garamond"/>
          <w:bCs/>
          <w:lang w:eastAsia="pl-PL"/>
        </w:rPr>
      </w:pPr>
      <w:r w:rsidRPr="00884C08">
        <w:rPr>
          <w:rFonts w:ascii="Garamond" w:eastAsia="Times New Roman" w:hAnsi="Garamond"/>
          <w:bCs/>
          <w:lang w:eastAsia="pl-PL"/>
        </w:rPr>
        <w:t>Gaziki celulozowo-wiskozowo-poliestrowe wykonane z wysokogatunkowej włókniny o gramaturze 70g/m2, nasączone 70% alkoholem izopropylowym, rozmiar złożonego gazika 4x4,5cm, a rozłożonego 12x12,5cm, czterokrotnie złożone, 9 warstw, pakowane pojedynczo w saszetki, 100szt. saszetek w opakowaniu zbiorczym- kartoniku?</w:t>
      </w:r>
    </w:p>
    <w:p w:rsidR="00DE75FD" w:rsidRDefault="00DE75FD" w:rsidP="00DE75F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68299B" w:rsidRPr="0068299B">
        <w:rPr>
          <w:rFonts w:ascii="Garamond" w:eastAsia="Times New Roman" w:hAnsi="Garamond"/>
          <w:bCs/>
          <w:lang w:eastAsia="pl-PL"/>
        </w:rPr>
        <w:t xml:space="preserve">Zamawiający </w:t>
      </w:r>
      <w:r w:rsidR="00884C08">
        <w:rPr>
          <w:rFonts w:ascii="Garamond" w:eastAsia="Times New Roman" w:hAnsi="Garamond"/>
          <w:bCs/>
          <w:lang w:eastAsia="pl-PL"/>
        </w:rPr>
        <w:t>nie wyraża zgody.</w:t>
      </w:r>
    </w:p>
    <w:p w:rsidR="00DE75FD" w:rsidRDefault="00DE75FD" w:rsidP="00DE75FD">
      <w:pPr>
        <w:spacing w:after="0" w:line="240" w:lineRule="auto"/>
        <w:jc w:val="both"/>
        <w:rPr>
          <w:rFonts w:ascii="Garamond" w:eastAsia="Times New Roman" w:hAnsi="Garamond"/>
          <w:b/>
          <w:bCs/>
          <w:lang w:eastAsia="pl-PL"/>
        </w:rPr>
      </w:pPr>
    </w:p>
    <w:p w:rsidR="00CD5B12" w:rsidRPr="00DE75FD" w:rsidRDefault="00CD5B12" w:rsidP="00CD5B12">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Czy Zamawiający w par. 3.3. zniesie wymóg potwierdzania otrzymania zamówień? Przepisy nakazują informowanie o odmowie dostawy, natomiast nie o przyjęciu jej do realizacji. Jest to dodatkowy, niewynikający z przepisów wymóg obciążający Wykonawcę. </w:t>
      </w:r>
    </w:p>
    <w:p w:rsidR="00CD5B12" w:rsidRDefault="00CD5B12" w:rsidP="00CD5B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CD5B12">
      <w:pPr>
        <w:spacing w:after="0" w:line="240" w:lineRule="auto"/>
        <w:jc w:val="both"/>
        <w:rPr>
          <w:rFonts w:ascii="Garamond" w:eastAsia="Times New Roman" w:hAnsi="Garamond"/>
          <w:b/>
          <w:bCs/>
          <w:lang w:eastAsia="pl-PL"/>
        </w:rPr>
      </w:pPr>
    </w:p>
    <w:p w:rsidR="00CD5B12" w:rsidRPr="00DE75FD" w:rsidRDefault="00CD5B12" w:rsidP="00CD5B12">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 </w:t>
      </w:r>
    </w:p>
    <w:p w:rsidR="00CD5B12" w:rsidRDefault="00CD5B12" w:rsidP="00CD5B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CD5B12">
      <w:pPr>
        <w:spacing w:after="0" w:line="240" w:lineRule="auto"/>
        <w:jc w:val="both"/>
        <w:rPr>
          <w:rFonts w:ascii="Garamond" w:eastAsia="Times New Roman" w:hAnsi="Garamond"/>
          <w:b/>
          <w:bCs/>
          <w:lang w:eastAsia="pl-PL"/>
        </w:rPr>
      </w:pPr>
    </w:p>
    <w:p w:rsidR="00CD5B12" w:rsidRPr="00DE75FD" w:rsidRDefault="00CD5B12" w:rsidP="00CD5B12">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Czy Zamawiający w par. 4.2 wprowadzi automatyczną zmianę ceny brutto w razie zmiany stawki VAT? Obecne zapisy, w razie braku zgody Zamawiającego, grożą Wykonawcy rażącą stratą. </w:t>
      </w:r>
    </w:p>
    <w:p w:rsidR="00CD5B12" w:rsidRDefault="00CD5B12" w:rsidP="00CD5B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CD5B12">
      <w:pPr>
        <w:spacing w:after="0" w:line="240" w:lineRule="auto"/>
        <w:jc w:val="both"/>
        <w:rPr>
          <w:rFonts w:ascii="Garamond" w:eastAsia="Times New Roman" w:hAnsi="Garamond"/>
          <w:b/>
          <w:bCs/>
          <w:lang w:eastAsia="pl-PL"/>
        </w:rPr>
      </w:pPr>
    </w:p>
    <w:p w:rsidR="00CD5B12" w:rsidRPr="00DE75FD" w:rsidRDefault="00CD5B12" w:rsidP="00CD5B12">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t>
      </w:r>
      <w:r w:rsidRPr="00CD5B12">
        <w:rPr>
          <w:rFonts w:ascii="Garamond" w:eastAsia="Times New Roman" w:hAnsi="Garamond"/>
          <w:bCs/>
          <w:lang w:eastAsia="pl-PL"/>
        </w:rPr>
        <w:lastRenderedPageBreak/>
        <w:t xml:space="preserve">wykonać umowę. Z reguły kary w takiej wysokości zastrzega się za odstąpienie od umowy, co jest oczywiście inną podstawą naliczenia kar, niepokrywającą się z podstawą określoną w par. 8.4. </w:t>
      </w:r>
    </w:p>
    <w:p w:rsidR="00CD5B12" w:rsidRDefault="00CD5B12" w:rsidP="00CD5B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CD5B12">
      <w:pPr>
        <w:spacing w:after="0" w:line="240" w:lineRule="auto"/>
        <w:jc w:val="both"/>
        <w:rPr>
          <w:rFonts w:ascii="Garamond" w:eastAsia="Times New Roman" w:hAnsi="Garamond"/>
          <w:b/>
          <w:bCs/>
          <w:lang w:eastAsia="pl-PL"/>
        </w:rPr>
      </w:pPr>
    </w:p>
    <w:p w:rsidR="00CD5B12" w:rsidRPr="00DE75FD" w:rsidRDefault="00CD5B12" w:rsidP="00CD5B12">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W przypadku pozostawienia par. 8.2. - Czy Zamawiający zmieni wartość procentową kary umownej określoną w tym paragrafie. z 10% do wartości max. 0,2%? Obecna kara umowna jest rażąco wygórowana. </w:t>
      </w:r>
    </w:p>
    <w:p w:rsidR="00CD5B12" w:rsidRDefault="00CD5B12" w:rsidP="00CD5B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CD5B12">
      <w:pPr>
        <w:spacing w:after="0" w:line="240" w:lineRule="auto"/>
        <w:jc w:val="both"/>
        <w:rPr>
          <w:rFonts w:ascii="Garamond" w:eastAsia="Times New Roman" w:hAnsi="Garamond"/>
          <w:b/>
          <w:bCs/>
          <w:lang w:eastAsia="pl-PL"/>
        </w:rPr>
      </w:pPr>
    </w:p>
    <w:p w:rsidR="00CD5B12" w:rsidRPr="00DE75FD" w:rsidRDefault="00CD5B12" w:rsidP="00CD5B12">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W przypadku pozostawienia par. 8.3. - Czy Zamawiający zmieni wartość procentową kary umownej określoną w tym paragrafie. z 5% do wartości max. 1%? Obecna kara umowna jest rażąco wygórowana. </w:t>
      </w:r>
    </w:p>
    <w:p w:rsidR="00CD5B12" w:rsidRDefault="00CD5B12" w:rsidP="00CD5B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CD5B12">
      <w:pPr>
        <w:spacing w:after="0" w:line="240" w:lineRule="auto"/>
        <w:jc w:val="both"/>
        <w:rPr>
          <w:rFonts w:ascii="Garamond" w:eastAsia="Times New Roman" w:hAnsi="Garamond"/>
          <w:b/>
          <w:bCs/>
          <w:lang w:eastAsia="pl-PL"/>
        </w:rPr>
      </w:pPr>
    </w:p>
    <w:p w:rsidR="00CD5B12" w:rsidRPr="00DE75FD" w:rsidRDefault="00CD5B12" w:rsidP="00CD5B12">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843E81"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Czy Zamawiający w par. 8.4 usunie zapis o minimalnej kwocie kary umownej 50zł? Wskutek tego zapisu kary umowne mogą być naliczone w kwocie rażąco wygórowanej.</w:t>
      </w:r>
    </w:p>
    <w:p w:rsidR="00CD5B12" w:rsidRDefault="00CD5B12" w:rsidP="00CD5B12">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843E81">
      <w:pPr>
        <w:spacing w:after="0" w:line="240" w:lineRule="auto"/>
        <w:jc w:val="both"/>
        <w:rPr>
          <w:rFonts w:ascii="Garamond" w:eastAsia="Times New Roman" w:hAnsi="Garamond"/>
          <w:b/>
          <w:bCs/>
          <w:lang w:eastAsia="pl-PL"/>
        </w:rPr>
      </w:pPr>
    </w:p>
    <w:p w:rsidR="00FD763D" w:rsidRPr="00DE75FD" w:rsidRDefault="00FD763D" w:rsidP="00FD763D">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Dotyczy wzoru umowy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Proszę o potwierdzenie, iż w razie wystąpienia takich okoliczności jak: brak statusu refundacyjnego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leku, wstrzymanie lub wycofanie produktu leczniczego z obrotu decyzją Głównego Inspektora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Farmaceutycznego oraz zaprzestanie produkcji, skutkujących uniemożliwieniem realizacji umowy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przez Wykonawcę, przy jednoczesnym udokumentowanym braku możliwości dostarczenia przez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Wykonawcę towaru równoważnego/odpowiednika nastąpi rozwiązanie umowy za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porozumieniem stron z uwagi na niemożność spełnienia świadczenia zgodnie z przepisami KC?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Zaoferowanie produktu zamiennego jest możliwe tylko w sytuacji posiadania przez wykonawcę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produktu leczniczego zamiennego danego producenta, do którego obrotu jest upoważniony na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podstawie koncesji, jako hurtownia farmaceutyczna. Niemożliwy i niezgodny z obowiązującymi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przepisami prawa jest obrót produktami leczniczymi, na które wykonawca nie posiada koncesji. </w:t>
      </w:r>
    </w:p>
    <w:p w:rsidR="00FD763D" w:rsidRDefault="00FD763D" w:rsidP="00FD763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FD763D">
        <w:rPr>
          <w:rFonts w:ascii="Garamond" w:eastAsia="Times New Roman" w:hAnsi="Garamond"/>
          <w:bCs/>
          <w:lang w:eastAsia="pl-PL"/>
        </w:rPr>
        <w:t>Zamawiający informuje, że w przypadku zaistnienia opisanych powyżej sytuacji każda z nich jest rozpatrywana indywidualnie po uzyskaniu stosownej informacji od Wykonawcy.</w:t>
      </w:r>
    </w:p>
    <w:p w:rsidR="00FD763D" w:rsidRDefault="00FD763D" w:rsidP="00CD5B12">
      <w:pPr>
        <w:spacing w:after="0" w:line="240" w:lineRule="auto"/>
        <w:jc w:val="both"/>
        <w:rPr>
          <w:rFonts w:ascii="Garamond" w:eastAsia="Times New Roman" w:hAnsi="Garamond"/>
          <w:bCs/>
          <w:lang w:eastAsia="pl-PL"/>
        </w:rPr>
      </w:pPr>
    </w:p>
    <w:p w:rsidR="00FD763D" w:rsidRPr="00DE75FD" w:rsidRDefault="00FD763D" w:rsidP="00FD763D">
      <w:pPr>
        <w:spacing w:after="0" w:line="240" w:lineRule="auto"/>
        <w:jc w:val="both"/>
        <w:rPr>
          <w:rFonts w:ascii="Garamond" w:eastAsia="Times New Roman" w:hAnsi="Garamond"/>
          <w:bCs/>
          <w:lang w:eastAsia="pl-PL"/>
        </w:rPr>
      </w:pPr>
      <w:r>
        <w:rPr>
          <w:rFonts w:ascii="Garamond" w:eastAsia="Times New Roman" w:hAnsi="Garamond"/>
          <w:b/>
          <w:bCs/>
          <w:lang w:eastAsia="pl-PL"/>
        </w:rPr>
        <w:t>Pytanie 10</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Wzór umowy § 3 ust. 3.c) – dostawy na ratunek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Z uwagi na fakt, że wymienione produkty lecznicze w częś ci nr 1 nie są lekami ratującymi życie i nie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wymagają dostaw awaryjnych w trybie „na ratunek” w ciągu 24 godzin, ze względu na specyfikę i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konieczność planowania podania z wyprzedzeniem proszę o potwierdzenie, że zapis § 3 ust. 3.c)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wzoru umowy, tj. zapis dotyczący dostaw „na ratunek” nie będzie miał zastosowania w stosunku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do części nr 1.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Zapisy umowy i SIWZ w obecnym brzmieniu dla wyżej wymienionych leków wprowadza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nieproporcjonalne ograniczenie w stosunku do obiektywnych potrzeb Zamawiającego (art. 29 Pzp). </w:t>
      </w:r>
    </w:p>
    <w:p w:rsidR="00FD763D" w:rsidRDefault="00FD763D" w:rsidP="00FD763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Pr="00CD5B12" w:rsidRDefault="00CD5B12" w:rsidP="00CD5B12">
      <w:pPr>
        <w:spacing w:after="0" w:line="240" w:lineRule="auto"/>
        <w:jc w:val="both"/>
        <w:rPr>
          <w:rFonts w:ascii="Garamond" w:eastAsia="Times New Roman" w:hAnsi="Garamond"/>
          <w:bCs/>
          <w:lang w:eastAsia="pl-PL"/>
        </w:rPr>
      </w:pPr>
    </w:p>
    <w:p w:rsidR="00FD763D" w:rsidRPr="00DE75FD" w:rsidRDefault="00FD763D" w:rsidP="00FD763D">
      <w:pPr>
        <w:spacing w:after="0" w:line="240" w:lineRule="auto"/>
        <w:jc w:val="both"/>
        <w:rPr>
          <w:rFonts w:ascii="Garamond" w:eastAsia="Times New Roman" w:hAnsi="Garamond"/>
          <w:bCs/>
          <w:lang w:eastAsia="pl-PL"/>
        </w:rPr>
      </w:pPr>
      <w:r>
        <w:rPr>
          <w:rFonts w:ascii="Garamond" w:eastAsia="Times New Roman" w:hAnsi="Garamond"/>
          <w:b/>
          <w:bCs/>
          <w:lang w:eastAsia="pl-PL"/>
        </w:rPr>
        <w:t>Pytanie 11</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Dotyczy § 3 ust. 7 wzoru umowy – w zakresie dostaw leków w soboty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Czy Zamawiający zgodzi się na dostawy przedmiotu umowy wyłącznie w dni powszednie, tj. od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 xml:space="preserve">poniedziałku do piątku w godz. od 8:00 do 15:00 dla części nr 1 (w dniach wolnych od pracy, tj. </w:t>
      </w:r>
    </w:p>
    <w:p w:rsidR="00CD5B12" w:rsidRPr="00CD5B12" w:rsidRDefault="00CD5B12" w:rsidP="00CD5B12">
      <w:pPr>
        <w:spacing w:after="0" w:line="240" w:lineRule="auto"/>
        <w:jc w:val="both"/>
        <w:rPr>
          <w:rFonts w:ascii="Garamond" w:eastAsia="Times New Roman" w:hAnsi="Garamond"/>
          <w:bCs/>
          <w:lang w:eastAsia="pl-PL"/>
        </w:rPr>
      </w:pPr>
      <w:r w:rsidRPr="00CD5B12">
        <w:rPr>
          <w:rFonts w:ascii="Garamond" w:eastAsia="Times New Roman" w:hAnsi="Garamond"/>
          <w:bCs/>
          <w:lang w:eastAsia="pl-PL"/>
        </w:rPr>
        <w:t>sobota oraz niedziela, a także w dni świąteczne, magazyn centralny Wykonawcy jest nieczynny).</w:t>
      </w:r>
    </w:p>
    <w:p w:rsidR="00FD763D" w:rsidRDefault="00FD763D" w:rsidP="00FD763D">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68299B">
        <w:rPr>
          <w:rFonts w:ascii="Garamond" w:eastAsia="Times New Roman" w:hAnsi="Garamond"/>
          <w:bCs/>
          <w:lang w:eastAsia="pl-PL"/>
        </w:rPr>
        <w:t xml:space="preserve">Zamawiający </w:t>
      </w:r>
      <w:r>
        <w:rPr>
          <w:rFonts w:ascii="Garamond" w:eastAsia="Times New Roman" w:hAnsi="Garamond"/>
          <w:bCs/>
          <w:lang w:eastAsia="pl-PL"/>
        </w:rPr>
        <w:t>nie wyraża zgody.</w:t>
      </w:r>
    </w:p>
    <w:p w:rsidR="00CD5B12" w:rsidRDefault="00CD5B12" w:rsidP="00843E81">
      <w:pPr>
        <w:spacing w:after="0" w:line="240" w:lineRule="auto"/>
        <w:jc w:val="both"/>
        <w:rPr>
          <w:rFonts w:ascii="Garamond" w:eastAsia="Times New Roman" w:hAnsi="Garamond"/>
          <w:b/>
          <w:bCs/>
          <w:lang w:eastAsia="pl-PL"/>
        </w:rPr>
      </w:pPr>
    </w:p>
    <w:p w:rsidR="00ED3CD7" w:rsidRPr="00DE75FD" w:rsidRDefault="00ED3CD7" w:rsidP="00ED3CD7">
      <w:pPr>
        <w:spacing w:after="0" w:line="240" w:lineRule="auto"/>
        <w:jc w:val="both"/>
        <w:rPr>
          <w:rFonts w:ascii="Garamond" w:eastAsia="Times New Roman" w:hAnsi="Garamond"/>
          <w:bCs/>
          <w:lang w:eastAsia="pl-PL"/>
        </w:rPr>
      </w:pPr>
      <w:r>
        <w:rPr>
          <w:rFonts w:ascii="Garamond" w:eastAsia="Times New Roman" w:hAnsi="Garamond"/>
          <w:b/>
          <w:bCs/>
          <w:lang w:eastAsia="pl-PL"/>
        </w:rPr>
        <w:t>Pytanie 12</w:t>
      </w:r>
    </w:p>
    <w:p w:rsidR="00ED3CD7" w:rsidRPr="00ED3CD7" w:rsidRDefault="00ED3CD7" w:rsidP="00ED3CD7">
      <w:pPr>
        <w:spacing w:after="0" w:line="240" w:lineRule="auto"/>
        <w:jc w:val="both"/>
        <w:rPr>
          <w:rFonts w:ascii="Garamond" w:eastAsia="Times New Roman" w:hAnsi="Garamond"/>
          <w:bCs/>
          <w:lang w:eastAsia="pl-PL"/>
        </w:rPr>
      </w:pPr>
      <w:r w:rsidRPr="00ED3CD7">
        <w:rPr>
          <w:rFonts w:ascii="Garamond" w:eastAsia="Times New Roman" w:hAnsi="Garamond"/>
          <w:bCs/>
          <w:lang w:eastAsia="pl-PL"/>
        </w:rPr>
        <w:lastRenderedPageBreak/>
        <w:t>Pytanie dot. Części n</w:t>
      </w:r>
      <w:r>
        <w:rPr>
          <w:rFonts w:ascii="Garamond" w:eastAsia="Times New Roman" w:hAnsi="Garamond"/>
          <w:bCs/>
          <w:lang w:eastAsia="pl-PL"/>
        </w:rPr>
        <w:t xml:space="preserve">r 21. </w:t>
      </w:r>
    </w:p>
    <w:p w:rsidR="00CD5B12" w:rsidRPr="00ED3CD7" w:rsidRDefault="00ED3CD7" w:rsidP="00ED3CD7">
      <w:pPr>
        <w:spacing w:after="0" w:line="240" w:lineRule="auto"/>
        <w:jc w:val="both"/>
        <w:rPr>
          <w:rFonts w:ascii="Garamond" w:eastAsia="Times New Roman" w:hAnsi="Garamond"/>
          <w:bCs/>
          <w:lang w:eastAsia="pl-PL"/>
        </w:rPr>
      </w:pPr>
      <w:r w:rsidRPr="00ED3CD7">
        <w:rPr>
          <w:rFonts w:ascii="Garamond" w:eastAsia="Times New Roman" w:hAnsi="Garamond"/>
          <w:bCs/>
          <w:lang w:eastAsia="pl-PL"/>
        </w:rPr>
        <w:t>Prosimy o odpowiedź, czy Zamawiający w części nr 21 wymaga zaoferowania produktów, których stabilność po pierwszym otwarciu fiolki wynosi wg informacji zawartych w karcie CHPL ponad 24 godziny ?</w:t>
      </w:r>
    </w:p>
    <w:p w:rsidR="00CD5B12" w:rsidRPr="00ED3CD7" w:rsidRDefault="00ED3CD7" w:rsidP="00843E81">
      <w:pPr>
        <w:spacing w:after="0" w:line="240" w:lineRule="auto"/>
        <w:jc w:val="both"/>
        <w:rPr>
          <w:rFonts w:ascii="Garamond" w:eastAsia="Times New Roman" w:hAnsi="Garamond"/>
          <w:bCs/>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00ED5CC7">
        <w:rPr>
          <w:rFonts w:ascii="Garamond" w:eastAsia="Times New Roman" w:hAnsi="Garamond"/>
          <w:lang w:eastAsia="pl-PL"/>
        </w:rPr>
        <w:t>Zamawiający wymaga aby okres ważności fiolki po pierwszym otwarciu wynosił minimum 24 godziny – informacja ta musi być zawarta w Charakterystyce Produktu Leczniczego.</w:t>
      </w:r>
    </w:p>
    <w:p w:rsidR="00CD5B12" w:rsidRPr="00843E81" w:rsidRDefault="00ED5CC7" w:rsidP="00843E81">
      <w:pPr>
        <w:spacing w:after="0" w:line="240" w:lineRule="auto"/>
        <w:jc w:val="both"/>
        <w:rPr>
          <w:rFonts w:ascii="Garamond" w:eastAsia="Times New Roman" w:hAnsi="Garamond"/>
          <w:lang w:eastAsia="pl-PL"/>
        </w:rPr>
      </w:pPr>
      <w:r>
        <w:rPr>
          <w:rFonts w:ascii="Garamond" w:eastAsia="Times New Roman" w:hAnsi="Garamond"/>
          <w:lang w:eastAsia="pl-PL"/>
        </w:rPr>
        <w:t>W związku z tym zmianie ulega arkusz cenowy (załącznik nr 1a do specyfikacji) w części 21.</w:t>
      </w:r>
    </w:p>
    <w:p w:rsidR="00843E81" w:rsidRPr="00ED3CD7" w:rsidRDefault="00843E81" w:rsidP="00DE75FD">
      <w:pPr>
        <w:spacing w:after="0" w:line="240" w:lineRule="auto"/>
        <w:jc w:val="both"/>
        <w:rPr>
          <w:rFonts w:ascii="Garamond" w:eastAsia="Times New Roman" w:hAnsi="Garamond"/>
          <w:b/>
          <w:highlight w:val="yellow"/>
          <w:lang w:eastAsia="pl-PL"/>
        </w:rPr>
      </w:pPr>
    </w:p>
    <w:p w:rsidR="00DE75FD" w:rsidRPr="00ED3CD7" w:rsidRDefault="00DE75FD" w:rsidP="00DE75FD">
      <w:pPr>
        <w:keepLines/>
        <w:autoSpaceDE w:val="0"/>
        <w:autoSpaceDN w:val="0"/>
        <w:adjustRightInd w:val="0"/>
        <w:spacing w:after="0" w:line="240" w:lineRule="auto"/>
        <w:jc w:val="both"/>
        <w:rPr>
          <w:rFonts w:ascii="Garamond" w:eastAsia="Times New Roman" w:hAnsi="Garamond"/>
          <w:highlight w:val="yellow"/>
          <w:lang w:eastAsia="pl-PL"/>
        </w:rPr>
      </w:pPr>
    </w:p>
    <w:p w:rsidR="00ED5CC7" w:rsidRDefault="00ED5CC7" w:rsidP="00DE75FD">
      <w:pPr>
        <w:keepLines/>
        <w:autoSpaceDE w:val="0"/>
        <w:autoSpaceDN w:val="0"/>
        <w:adjustRightInd w:val="0"/>
        <w:spacing w:after="0" w:line="240" w:lineRule="auto"/>
        <w:ind w:firstLine="567"/>
        <w:jc w:val="both"/>
        <w:rPr>
          <w:rFonts w:ascii="Garamond" w:eastAsia="Times New Roman" w:hAnsi="Garamond"/>
          <w:lang w:eastAsia="pl-PL"/>
        </w:rPr>
      </w:pPr>
    </w:p>
    <w:p w:rsidR="00DE75FD" w:rsidRPr="00ED5CC7" w:rsidRDefault="00DE75FD" w:rsidP="00DE75FD">
      <w:pPr>
        <w:keepLines/>
        <w:autoSpaceDE w:val="0"/>
        <w:autoSpaceDN w:val="0"/>
        <w:adjustRightInd w:val="0"/>
        <w:spacing w:after="0" w:line="240" w:lineRule="auto"/>
        <w:ind w:firstLine="567"/>
        <w:jc w:val="both"/>
        <w:rPr>
          <w:rFonts w:ascii="Garamond" w:eastAsia="Times New Roman" w:hAnsi="Garamond"/>
          <w:lang w:eastAsia="pl-PL"/>
        </w:rPr>
      </w:pPr>
      <w:r w:rsidRPr="00ED5CC7">
        <w:rPr>
          <w:rFonts w:ascii="Garamond" w:eastAsia="Times New Roman" w:hAnsi="Garamond"/>
          <w:lang w:eastAsia="pl-PL"/>
        </w:rPr>
        <w:t xml:space="preserve">W załączeniu przekazuję </w:t>
      </w:r>
      <w:r w:rsidR="00ED5CC7" w:rsidRPr="00ED5CC7">
        <w:rPr>
          <w:rFonts w:ascii="Garamond" w:eastAsia="Times New Roman" w:hAnsi="Garamond"/>
          <w:lang w:eastAsia="pl-PL"/>
        </w:rPr>
        <w:t>arkusz cenowy (</w:t>
      </w:r>
      <w:r w:rsidRPr="00ED5CC7">
        <w:rPr>
          <w:rFonts w:ascii="Garamond" w:eastAsia="Times New Roman" w:hAnsi="Garamond"/>
          <w:lang w:eastAsia="pl-PL"/>
        </w:rPr>
        <w:t>załącznik nr 1</w:t>
      </w:r>
      <w:r w:rsidR="00ED5CC7" w:rsidRPr="00ED5CC7">
        <w:rPr>
          <w:rFonts w:ascii="Garamond" w:eastAsia="Times New Roman" w:hAnsi="Garamond"/>
          <w:lang w:eastAsia="pl-PL"/>
        </w:rPr>
        <w:t>a</w:t>
      </w:r>
      <w:r w:rsidR="001B7FB1" w:rsidRPr="00ED5CC7">
        <w:rPr>
          <w:rFonts w:ascii="Garamond" w:eastAsia="Times New Roman" w:hAnsi="Garamond"/>
          <w:lang w:eastAsia="pl-PL"/>
        </w:rPr>
        <w:t xml:space="preserve"> do specyfikacji</w:t>
      </w:r>
      <w:r w:rsidR="00ED5CC7" w:rsidRPr="00ED5CC7">
        <w:rPr>
          <w:rFonts w:ascii="Garamond" w:eastAsia="Times New Roman" w:hAnsi="Garamond"/>
          <w:lang w:eastAsia="pl-PL"/>
        </w:rPr>
        <w:t>) uwzględniający</w:t>
      </w:r>
      <w:r w:rsidRPr="00ED5CC7">
        <w:rPr>
          <w:rFonts w:ascii="Garamond" w:eastAsia="Times New Roman" w:hAnsi="Garamond"/>
          <w:lang w:eastAsia="pl-PL"/>
        </w:rPr>
        <w:t xml:space="preserve"> powyższe odpowiedzi i wprowadzone zmiany.</w:t>
      </w:r>
    </w:p>
    <w:p w:rsidR="00DE75FD" w:rsidRPr="00ED5CC7" w:rsidRDefault="00DE75FD" w:rsidP="00DE75FD">
      <w:pPr>
        <w:spacing w:after="0" w:line="240" w:lineRule="auto"/>
        <w:jc w:val="both"/>
        <w:rPr>
          <w:rFonts w:ascii="Garamond" w:eastAsia="Times New Roman" w:hAnsi="Garamond"/>
          <w:lang w:eastAsia="pl-PL"/>
        </w:rPr>
      </w:pPr>
    </w:p>
    <w:p w:rsidR="00DE75FD" w:rsidRPr="00ED3CD7" w:rsidRDefault="00DE75FD" w:rsidP="00DE75FD">
      <w:pPr>
        <w:spacing w:after="0" w:line="240" w:lineRule="auto"/>
        <w:jc w:val="both"/>
        <w:rPr>
          <w:rFonts w:ascii="Garamond" w:eastAsia="Times New Roman" w:hAnsi="Garamond"/>
          <w:highlight w:val="yellow"/>
          <w:lang w:eastAsia="pl-PL"/>
        </w:rPr>
      </w:pPr>
    </w:p>
    <w:p w:rsidR="00DE75FD" w:rsidRPr="000519D0" w:rsidRDefault="00DE75FD" w:rsidP="00DE75FD">
      <w:pPr>
        <w:spacing w:after="0" w:line="240" w:lineRule="auto"/>
        <w:jc w:val="both"/>
        <w:rPr>
          <w:rFonts w:ascii="Garamond" w:eastAsia="Times New Roman" w:hAnsi="Garamond"/>
          <w:lang w:eastAsia="pl-PL"/>
        </w:rPr>
      </w:pPr>
    </w:p>
    <w:p w:rsidR="00DE75FD" w:rsidRPr="00C71C60" w:rsidRDefault="00DE75FD" w:rsidP="00DE75FD">
      <w:pPr>
        <w:spacing w:after="0" w:line="240" w:lineRule="auto"/>
        <w:jc w:val="both"/>
        <w:rPr>
          <w:rFonts w:ascii="Garamond" w:eastAsia="Times New Roman" w:hAnsi="Garamond"/>
          <w:lang w:eastAsia="pl-PL"/>
        </w:rPr>
      </w:pPr>
    </w:p>
    <w:p w:rsidR="00284FD2" w:rsidRPr="00DE75FD" w:rsidRDefault="00284FD2" w:rsidP="00DE75FD">
      <w:pPr>
        <w:spacing w:after="0" w:line="240" w:lineRule="auto"/>
      </w:pPr>
    </w:p>
    <w:sectPr w:rsidR="00284FD2" w:rsidRPr="00DE75FD"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223" w:rsidRDefault="007A1223" w:rsidP="00E22E7B">
      <w:pPr>
        <w:spacing w:after="0" w:line="240" w:lineRule="auto"/>
      </w:pPr>
      <w:r>
        <w:separator/>
      </w:r>
    </w:p>
  </w:endnote>
  <w:endnote w:type="continuationSeparator" w:id="0">
    <w:p w:rsidR="007A1223" w:rsidRDefault="007A1223"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223" w:rsidRDefault="007A1223" w:rsidP="00E22E7B">
      <w:pPr>
        <w:spacing w:after="0" w:line="240" w:lineRule="auto"/>
      </w:pPr>
      <w:r>
        <w:separator/>
      </w:r>
    </w:p>
  </w:footnote>
  <w:footnote w:type="continuationSeparator" w:id="0">
    <w:p w:rsidR="007A1223" w:rsidRDefault="007A1223"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09C6A3CA" wp14:editId="2486424B">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74020"/>
    <w:rsid w:val="000A3CFF"/>
    <w:rsid w:val="000B2E90"/>
    <w:rsid w:val="001369B1"/>
    <w:rsid w:val="001B7FB1"/>
    <w:rsid w:val="00264323"/>
    <w:rsid w:val="002711BC"/>
    <w:rsid w:val="00284FD2"/>
    <w:rsid w:val="003A311E"/>
    <w:rsid w:val="003B6BF5"/>
    <w:rsid w:val="003F447D"/>
    <w:rsid w:val="005648AF"/>
    <w:rsid w:val="00600795"/>
    <w:rsid w:val="00613330"/>
    <w:rsid w:val="00645051"/>
    <w:rsid w:val="0068299B"/>
    <w:rsid w:val="00707EAA"/>
    <w:rsid w:val="00736089"/>
    <w:rsid w:val="007616A9"/>
    <w:rsid w:val="007710AA"/>
    <w:rsid w:val="00785DE7"/>
    <w:rsid w:val="007A1223"/>
    <w:rsid w:val="008231DF"/>
    <w:rsid w:val="00843E81"/>
    <w:rsid w:val="00884C08"/>
    <w:rsid w:val="008A350C"/>
    <w:rsid w:val="00957E08"/>
    <w:rsid w:val="009A5839"/>
    <w:rsid w:val="009B3680"/>
    <w:rsid w:val="00A4270B"/>
    <w:rsid w:val="00AA2535"/>
    <w:rsid w:val="00B760A1"/>
    <w:rsid w:val="00C00657"/>
    <w:rsid w:val="00C03926"/>
    <w:rsid w:val="00CA01D3"/>
    <w:rsid w:val="00CD5B12"/>
    <w:rsid w:val="00D756DB"/>
    <w:rsid w:val="00D876BE"/>
    <w:rsid w:val="00DE75FD"/>
    <w:rsid w:val="00E0782F"/>
    <w:rsid w:val="00E22E7B"/>
    <w:rsid w:val="00E42DD1"/>
    <w:rsid w:val="00E631DB"/>
    <w:rsid w:val="00E827F0"/>
    <w:rsid w:val="00ED3CD7"/>
    <w:rsid w:val="00ED5CC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933</Words>
  <Characters>5603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6</cp:revision>
  <cp:lastPrinted>2019-11-21T12:48:00Z</cp:lastPrinted>
  <dcterms:created xsi:type="dcterms:W3CDTF">2019-12-02T13:55:00Z</dcterms:created>
  <dcterms:modified xsi:type="dcterms:W3CDTF">2019-12-04T07:02:00Z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