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FA3E" w14:textId="177CD5B2" w:rsidR="00296489" w:rsidRPr="00871490" w:rsidRDefault="001E1932" w:rsidP="00296489">
      <w:pPr>
        <w:jc w:val="both"/>
        <w:rPr>
          <w:rFonts w:ascii="Garamond" w:hAnsi="Garamond"/>
        </w:rPr>
      </w:pPr>
      <w:r w:rsidRPr="00871490">
        <w:rPr>
          <w:rFonts w:ascii="Garamond" w:hAnsi="Garamond"/>
        </w:rPr>
        <w:t>Nr sprawy: DFP.271.</w:t>
      </w:r>
      <w:r w:rsidR="005359CA">
        <w:rPr>
          <w:rFonts w:ascii="Garamond" w:hAnsi="Garamond"/>
        </w:rPr>
        <w:t>112</w:t>
      </w:r>
      <w:r w:rsidRPr="00871490">
        <w:rPr>
          <w:rFonts w:ascii="Garamond" w:hAnsi="Garamond"/>
        </w:rPr>
        <w:t>.2021</w:t>
      </w:r>
      <w:r w:rsidR="00114C04" w:rsidRPr="00871490">
        <w:rPr>
          <w:rFonts w:ascii="Garamond" w:hAnsi="Garamond"/>
        </w:rPr>
        <w:t xml:space="preserve">.KK </w:t>
      </w:r>
      <w:r w:rsidR="00114C04" w:rsidRPr="00871490">
        <w:rPr>
          <w:rFonts w:ascii="Garamond" w:hAnsi="Garamond"/>
        </w:rPr>
        <w:tab/>
      </w:r>
      <w:r w:rsidR="00114C04" w:rsidRPr="00871490">
        <w:rPr>
          <w:rFonts w:ascii="Garamond" w:hAnsi="Garamond"/>
        </w:rPr>
        <w:tab/>
      </w:r>
      <w:r w:rsidR="00114C04" w:rsidRPr="00871490">
        <w:rPr>
          <w:rFonts w:ascii="Garamond" w:hAnsi="Garamond"/>
        </w:rPr>
        <w:tab/>
      </w:r>
      <w:r w:rsidR="00114C04" w:rsidRPr="00871490">
        <w:rPr>
          <w:rFonts w:ascii="Garamond" w:hAnsi="Garamond"/>
        </w:rPr>
        <w:tab/>
      </w:r>
      <w:r w:rsidR="00114C04" w:rsidRPr="00871490">
        <w:rPr>
          <w:rFonts w:ascii="Garamond" w:hAnsi="Garamond"/>
        </w:rPr>
        <w:tab/>
        <w:t xml:space="preserve">     </w:t>
      </w:r>
      <w:r w:rsidR="00C33030" w:rsidRPr="00871490">
        <w:rPr>
          <w:rFonts w:ascii="Garamond" w:hAnsi="Garamond"/>
        </w:rPr>
        <w:t xml:space="preserve"> </w:t>
      </w:r>
      <w:r w:rsidR="0084366C" w:rsidRPr="00871490">
        <w:rPr>
          <w:rFonts w:ascii="Garamond" w:hAnsi="Garamond"/>
        </w:rPr>
        <w:t xml:space="preserve"> </w:t>
      </w:r>
      <w:r w:rsidR="00114C04" w:rsidRPr="00F7060C">
        <w:rPr>
          <w:rFonts w:ascii="Garamond" w:hAnsi="Garamond"/>
        </w:rPr>
        <w:t xml:space="preserve">Kraków, </w:t>
      </w:r>
      <w:r w:rsidR="005359CA" w:rsidRPr="00F7060C">
        <w:rPr>
          <w:rFonts w:ascii="Garamond" w:hAnsi="Garamond"/>
        </w:rPr>
        <w:t xml:space="preserve">dnia </w:t>
      </w:r>
      <w:r w:rsidR="006D15E9" w:rsidRPr="00F7060C">
        <w:rPr>
          <w:rFonts w:ascii="Garamond" w:hAnsi="Garamond"/>
        </w:rPr>
        <w:t>18</w:t>
      </w:r>
      <w:r w:rsidR="0049765A" w:rsidRPr="00F7060C">
        <w:rPr>
          <w:rFonts w:ascii="Garamond" w:hAnsi="Garamond"/>
        </w:rPr>
        <w:t>.</w:t>
      </w:r>
      <w:r w:rsidR="005359CA" w:rsidRPr="00F7060C">
        <w:rPr>
          <w:rFonts w:ascii="Garamond" w:hAnsi="Garamond"/>
        </w:rPr>
        <w:t>11.</w:t>
      </w:r>
      <w:r w:rsidRPr="00F7060C">
        <w:rPr>
          <w:rFonts w:ascii="Garamond" w:hAnsi="Garamond"/>
        </w:rPr>
        <w:t>2021</w:t>
      </w:r>
      <w:r w:rsidR="00296489" w:rsidRPr="00F7060C">
        <w:rPr>
          <w:rFonts w:ascii="Garamond" w:hAnsi="Garamond"/>
        </w:rPr>
        <w:t xml:space="preserve"> r.</w:t>
      </w:r>
    </w:p>
    <w:p w14:paraId="4880F816" w14:textId="12E39393" w:rsidR="00296489" w:rsidRPr="00871490" w:rsidRDefault="00296489" w:rsidP="00296489">
      <w:pPr>
        <w:widowControl/>
        <w:jc w:val="both"/>
        <w:rPr>
          <w:rFonts w:ascii="Garamond" w:hAnsi="Garamond"/>
          <w:i/>
        </w:rPr>
      </w:pPr>
    </w:p>
    <w:p w14:paraId="16BA3C7C" w14:textId="3C30318B" w:rsidR="00296489" w:rsidRPr="00871490" w:rsidRDefault="00296489" w:rsidP="00296489">
      <w:pPr>
        <w:widowControl/>
        <w:jc w:val="both"/>
        <w:rPr>
          <w:rFonts w:ascii="Garamond" w:hAnsi="Garamond"/>
          <w:i/>
        </w:rPr>
      </w:pPr>
    </w:p>
    <w:p w14:paraId="1FE982AE" w14:textId="77777777" w:rsidR="007332E4" w:rsidRPr="00871490" w:rsidRDefault="007332E4" w:rsidP="00296489">
      <w:pPr>
        <w:widowControl/>
        <w:jc w:val="both"/>
        <w:rPr>
          <w:rFonts w:ascii="Garamond" w:hAnsi="Garamond"/>
          <w:i/>
        </w:rPr>
      </w:pPr>
    </w:p>
    <w:p w14:paraId="01AF2862" w14:textId="77777777" w:rsidR="00296489" w:rsidRPr="002F6709" w:rsidRDefault="00296489" w:rsidP="00296489">
      <w:pPr>
        <w:ind w:left="2832"/>
        <w:jc w:val="right"/>
        <w:rPr>
          <w:rFonts w:ascii="Garamond" w:hAnsi="Garamond"/>
          <w:b/>
          <w:bCs/>
          <w:i/>
          <w:u w:val="single"/>
        </w:rPr>
      </w:pPr>
      <w:r w:rsidRPr="002F6709">
        <w:rPr>
          <w:rFonts w:ascii="Garamond" w:hAnsi="Garamond"/>
          <w:b/>
          <w:bCs/>
          <w:i/>
          <w:u w:val="single"/>
        </w:rPr>
        <w:t>Do wszystkich Wykonawców biorących udział w postępowaniu</w:t>
      </w:r>
    </w:p>
    <w:p w14:paraId="37ACE815" w14:textId="2583508E" w:rsidR="00296489" w:rsidRPr="002F6709" w:rsidRDefault="00296489" w:rsidP="00296489">
      <w:pPr>
        <w:ind w:left="2832"/>
        <w:jc w:val="both"/>
        <w:rPr>
          <w:rFonts w:ascii="Garamond" w:hAnsi="Garamond"/>
          <w:b/>
          <w:i/>
        </w:rPr>
      </w:pPr>
    </w:p>
    <w:p w14:paraId="153D25FF" w14:textId="5C47173D" w:rsidR="00DF0987" w:rsidRPr="002F6709" w:rsidRDefault="00DF0987" w:rsidP="00640F40">
      <w:pPr>
        <w:jc w:val="both"/>
        <w:rPr>
          <w:rFonts w:ascii="Garamond" w:hAnsi="Garamond"/>
          <w:i/>
        </w:rPr>
      </w:pPr>
    </w:p>
    <w:p w14:paraId="2E536AAF" w14:textId="77777777" w:rsidR="007332E4" w:rsidRPr="002F6709" w:rsidRDefault="007332E4" w:rsidP="00640F40">
      <w:pPr>
        <w:jc w:val="both"/>
        <w:rPr>
          <w:rFonts w:ascii="Garamond" w:hAnsi="Garamond"/>
          <w:i/>
        </w:rPr>
      </w:pPr>
    </w:p>
    <w:p w14:paraId="2278B3EC" w14:textId="6CFC181B" w:rsidR="00840CEB" w:rsidRPr="002F6709" w:rsidRDefault="00296489" w:rsidP="00263CE4">
      <w:pPr>
        <w:ind w:left="709" w:hanging="709"/>
        <w:jc w:val="both"/>
        <w:rPr>
          <w:rFonts w:ascii="Garamond" w:hAnsi="Garamond"/>
          <w:i/>
        </w:rPr>
      </w:pPr>
      <w:r w:rsidRPr="002F6709">
        <w:rPr>
          <w:rFonts w:ascii="Garamond" w:hAnsi="Garamond"/>
          <w:i/>
        </w:rPr>
        <w:t xml:space="preserve">Dotyczy: postępowania o udzielenie zamówienia publicznego </w:t>
      </w:r>
      <w:r w:rsidR="00263CE4" w:rsidRPr="002F6709">
        <w:rPr>
          <w:rFonts w:ascii="Garamond" w:hAnsi="Garamond"/>
          <w:i/>
        </w:rPr>
        <w:t xml:space="preserve">na </w:t>
      </w:r>
      <w:r w:rsidR="005359CA" w:rsidRPr="002F6709">
        <w:rPr>
          <w:rFonts w:ascii="Garamond" w:hAnsi="Garamond"/>
          <w:i/>
        </w:rPr>
        <w:t>dostawę odczynników, materiałów kontrolnych, materiałów zużywalnych wraz z dzierżawą urządzeń.</w:t>
      </w:r>
    </w:p>
    <w:p w14:paraId="6F818B3F" w14:textId="57C7D9E9" w:rsidR="00263CE4" w:rsidRPr="002F6709" w:rsidRDefault="00263CE4" w:rsidP="00263CE4">
      <w:pPr>
        <w:ind w:left="709" w:hanging="709"/>
        <w:jc w:val="both"/>
        <w:rPr>
          <w:rFonts w:ascii="Garamond" w:hAnsi="Garamond"/>
          <w:i/>
        </w:rPr>
      </w:pPr>
    </w:p>
    <w:p w14:paraId="28FF9A62" w14:textId="77777777" w:rsidR="00263CE4" w:rsidRPr="002F6709" w:rsidRDefault="00263CE4" w:rsidP="00263CE4">
      <w:pPr>
        <w:ind w:left="709" w:hanging="709"/>
        <w:jc w:val="both"/>
        <w:rPr>
          <w:rFonts w:ascii="Garamond" w:hAnsi="Garamond"/>
        </w:rPr>
      </w:pPr>
    </w:p>
    <w:p w14:paraId="28E49BB4" w14:textId="522C53A2" w:rsidR="00296489" w:rsidRPr="002F6709" w:rsidRDefault="001E1932" w:rsidP="00420C2A">
      <w:pPr>
        <w:ind w:firstLine="720"/>
        <w:jc w:val="both"/>
        <w:rPr>
          <w:rFonts w:ascii="Garamond" w:hAnsi="Garamond"/>
        </w:rPr>
      </w:pPr>
      <w:r w:rsidRPr="002F6709">
        <w:rPr>
          <w:rFonts w:ascii="Garamond" w:hAnsi="Garamond"/>
        </w:rPr>
        <w:t>Zgodnie z art. 135 ust. 6 ustawy z dnia 11 września 2019 r. Prawo zamówień publicznych przedstawiam o</w:t>
      </w:r>
      <w:r w:rsidR="007332E4" w:rsidRPr="002F6709">
        <w:rPr>
          <w:rFonts w:ascii="Garamond" w:hAnsi="Garamond"/>
        </w:rPr>
        <w:t>dpowiedzi na pytania wykonawców oraz zgodnie z art. 137 ust. 1 ustawy Prawo zamówień publicznych zmieniam SWZ:</w:t>
      </w:r>
    </w:p>
    <w:p w14:paraId="44B08021" w14:textId="16D84F7A" w:rsidR="00840CEB" w:rsidRPr="002F6709" w:rsidRDefault="00840CEB" w:rsidP="00631473">
      <w:pPr>
        <w:jc w:val="both"/>
        <w:rPr>
          <w:rFonts w:ascii="Garamond" w:hAnsi="Garamond"/>
          <w:b/>
        </w:rPr>
      </w:pPr>
    </w:p>
    <w:p w14:paraId="7C458B91" w14:textId="59EBB153" w:rsidR="007E18D1" w:rsidRPr="002F6709" w:rsidRDefault="00173C88" w:rsidP="00631473">
      <w:pPr>
        <w:jc w:val="both"/>
        <w:rPr>
          <w:rFonts w:ascii="Garamond" w:hAnsi="Garamond"/>
          <w:b/>
        </w:rPr>
      </w:pPr>
      <w:r w:rsidRPr="002F6709">
        <w:rPr>
          <w:rFonts w:ascii="Garamond" w:hAnsi="Garamond"/>
          <w:b/>
        </w:rPr>
        <w:t>Pytanie</w:t>
      </w:r>
      <w:r w:rsidR="00ED7BC0" w:rsidRPr="002F6709">
        <w:rPr>
          <w:rFonts w:ascii="Garamond" w:hAnsi="Garamond"/>
          <w:b/>
        </w:rPr>
        <w:t xml:space="preserve"> 1</w:t>
      </w:r>
    </w:p>
    <w:p w14:paraId="0813B7C3" w14:textId="77777777" w:rsidR="005359CA" w:rsidRPr="002F6709" w:rsidRDefault="005359CA" w:rsidP="005359CA">
      <w:pPr>
        <w:widowControl/>
        <w:autoSpaceDE w:val="0"/>
        <w:autoSpaceDN w:val="0"/>
        <w:adjustRightInd w:val="0"/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 xml:space="preserve">Część nr 2 </w:t>
      </w:r>
    </w:p>
    <w:p w14:paraId="777D7A45" w14:textId="7409BB0E" w:rsidR="005359CA" w:rsidRPr="002F6709" w:rsidRDefault="005359CA" w:rsidP="005359CA">
      <w:pPr>
        <w:widowControl/>
        <w:autoSpaceDE w:val="0"/>
        <w:autoSpaceDN w:val="0"/>
        <w:adjustRightInd w:val="0"/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 xml:space="preserve">dotyczy projektu umowy § 3b pkt 1 dot. „dwustronnej komunikacji Sprzętu z Laboratoryjnym Systemem Informatycznym” Załącznik nr 1 b - Opis wymagań granicznych oferowanego aparatu pkt 27 „oprogramowanie pozwalające na interpretację wyników oznaczania testu wydzielania interferonu gamma”, pkt 42 „komunikacja z Laboratoryjnym Systemem Informatycznym (LIS) pozwalająca na zlecanie badań i odbiór wyników z analizatora przez LIS”. </w:t>
      </w:r>
    </w:p>
    <w:p w14:paraId="41FEB20A" w14:textId="1E3BAD9B" w:rsidR="005359CA" w:rsidRPr="002F6709" w:rsidRDefault="005359CA" w:rsidP="005359CA">
      <w:pPr>
        <w:widowControl/>
        <w:autoSpaceDE w:val="0"/>
        <w:autoSpaceDN w:val="0"/>
        <w:adjustRightInd w:val="0"/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 xml:space="preserve">Zwracamy się z prośbą do Zamawiającego o podanie nazwy oraz kontaktu do dostawcy Laboratoryjnego Systemu Informatycznego, do którego Wykonawcy zobowiązani są podłączyć dwukierunkowo oferowany analizator immunochemiczny. </w:t>
      </w:r>
    </w:p>
    <w:p w14:paraId="536E3BC1" w14:textId="58C74EC3" w:rsidR="003810B9" w:rsidRPr="002F6709" w:rsidRDefault="00B93F1C" w:rsidP="005E05A4">
      <w:pPr>
        <w:jc w:val="both"/>
        <w:rPr>
          <w:rFonts w:ascii="Garamond" w:hAnsi="Garamond"/>
          <w:b/>
        </w:rPr>
      </w:pPr>
      <w:r w:rsidRPr="002F6709">
        <w:rPr>
          <w:rFonts w:ascii="Garamond" w:hAnsi="Garamond"/>
          <w:b/>
        </w:rPr>
        <w:t>Odpowiedź:</w:t>
      </w:r>
      <w:r w:rsidR="00E02DFB" w:rsidRPr="002F6709">
        <w:rPr>
          <w:rFonts w:ascii="Garamond" w:hAnsi="Garamond"/>
          <w:b/>
        </w:rPr>
        <w:t xml:space="preserve"> </w:t>
      </w:r>
      <w:r w:rsidR="000C13DA" w:rsidRPr="002F6709">
        <w:rPr>
          <w:rFonts w:ascii="Garamond" w:hAnsi="Garamond"/>
          <w:b/>
        </w:rPr>
        <w:t>Zamawiający informuje, iż dostawcą systemu LIS dla NSSU jest firma Marcel Sp. z o. o., tel. /22/ 490 95 30.</w:t>
      </w:r>
    </w:p>
    <w:p w14:paraId="5B4EDBA2" w14:textId="66B1B71A" w:rsidR="00634C5A" w:rsidRPr="002F6709" w:rsidRDefault="00634C5A" w:rsidP="00631473">
      <w:pPr>
        <w:jc w:val="both"/>
        <w:rPr>
          <w:rFonts w:ascii="Garamond" w:hAnsi="Garamond"/>
          <w:b/>
        </w:rPr>
      </w:pPr>
    </w:p>
    <w:p w14:paraId="2AE84698" w14:textId="2BED8C2E" w:rsidR="007E18D1" w:rsidRPr="002F6709" w:rsidRDefault="00C42CE6" w:rsidP="00631473">
      <w:pPr>
        <w:jc w:val="both"/>
        <w:rPr>
          <w:rFonts w:ascii="Garamond" w:hAnsi="Garamond"/>
          <w:b/>
          <w:lang w:eastAsia="pl-PL"/>
        </w:rPr>
      </w:pPr>
      <w:r w:rsidRPr="002F6709">
        <w:rPr>
          <w:rFonts w:ascii="Garamond" w:hAnsi="Garamond"/>
          <w:b/>
          <w:lang w:eastAsia="pl-PL"/>
        </w:rPr>
        <w:t>Pytanie 2</w:t>
      </w:r>
    </w:p>
    <w:p w14:paraId="2BC1DDC2" w14:textId="77777777" w:rsidR="005359CA" w:rsidRPr="002F6709" w:rsidRDefault="005359CA" w:rsidP="005359CA">
      <w:pPr>
        <w:widowControl/>
        <w:autoSpaceDE w:val="0"/>
        <w:autoSpaceDN w:val="0"/>
        <w:adjustRightInd w:val="0"/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>Część nr 2</w:t>
      </w:r>
    </w:p>
    <w:p w14:paraId="4765153F" w14:textId="4B5B2D8F" w:rsidR="005359CA" w:rsidRPr="002F6709" w:rsidRDefault="005359CA" w:rsidP="005359CA">
      <w:pPr>
        <w:widowControl/>
        <w:autoSpaceDE w:val="0"/>
        <w:autoSpaceDN w:val="0"/>
        <w:adjustRightInd w:val="0"/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 xml:space="preserve">dotyczy projektu umowy § 3b pkt 1 dot. „dwustronnej komunikacji Sprzętu z Laboratoryjnym Systemem Informatycznym” Załącznik nr 1 b - Opis wymagań granicznych oferowanego aparatu pkt 27 „oprogramowanie pozwalające na interpretację wyników oznaczania testu wydzielania interferonu gamma”, pkt 42 „komunikacja z Laboratoryjnym Systemem Informatycznym (LIS) pozwalająca na zlecanie badań i odbiór wyników z analizatora przez LIS”. </w:t>
      </w:r>
    </w:p>
    <w:p w14:paraId="532784E5" w14:textId="01B52EC2" w:rsidR="005359CA" w:rsidRPr="002F6709" w:rsidRDefault="005359CA" w:rsidP="005359CA">
      <w:pPr>
        <w:jc w:val="both"/>
        <w:rPr>
          <w:rFonts w:ascii="Garamond" w:hAnsi="Garamond"/>
          <w:b/>
          <w:lang w:eastAsia="pl-PL"/>
        </w:rPr>
      </w:pPr>
      <w:r w:rsidRPr="002F6709">
        <w:rPr>
          <w:rFonts w:ascii="Garamond" w:hAnsi="Garamond"/>
          <w:lang w:eastAsia="pl-PL"/>
        </w:rPr>
        <w:t>Czy w przypadku oprogramowania pozwalającego na interpretację wyników oznaczenia testu wydzielania interferonu gamma do oceny prawdopodobieństwa/wykrywania wczesnej fazy zakażenia krętkami Borrelia burgdorferi (sensu lato) z poz. 5 arkusza cenowego, Zamawiający zgodzi się na wykonanie dwustronnej komunikacji oferowanego sprzętu z Laborator</w:t>
      </w:r>
      <w:r w:rsidR="00740133" w:rsidRPr="002F6709">
        <w:rPr>
          <w:rFonts w:ascii="Garamond" w:hAnsi="Garamond"/>
          <w:lang w:eastAsia="pl-PL"/>
        </w:rPr>
        <w:t>yjnym Systemem Informatycznym (</w:t>
      </w:r>
      <w:r w:rsidRPr="002F6709">
        <w:rPr>
          <w:rFonts w:ascii="Garamond" w:hAnsi="Garamond"/>
          <w:lang w:eastAsia="pl-PL"/>
        </w:rPr>
        <w:t>LIS) w terminie uzgodnionym i zaakceptowanym przez Szpital, ale nie dłuższym niż 60 dni od dnia zgłoszenia gotowości przez Szpital?</w:t>
      </w:r>
    </w:p>
    <w:p w14:paraId="595A1DBD" w14:textId="488DF535" w:rsidR="00281ADE" w:rsidRPr="002F6709" w:rsidRDefault="00C42CE6" w:rsidP="00D136B2">
      <w:pPr>
        <w:jc w:val="both"/>
        <w:rPr>
          <w:rFonts w:ascii="Garamond" w:hAnsi="Garamond"/>
          <w:b/>
        </w:rPr>
      </w:pPr>
      <w:r w:rsidRPr="002F6709">
        <w:rPr>
          <w:rFonts w:ascii="Garamond" w:hAnsi="Garamond"/>
          <w:b/>
          <w:lang w:eastAsia="pl-PL"/>
        </w:rPr>
        <w:t>Odpowiedź:</w:t>
      </w:r>
      <w:r w:rsidR="00776B84" w:rsidRPr="002F6709">
        <w:rPr>
          <w:rFonts w:ascii="Garamond" w:hAnsi="Garamond"/>
        </w:rPr>
        <w:t xml:space="preserve"> </w:t>
      </w:r>
      <w:r w:rsidR="00D136B2" w:rsidRPr="002F6709">
        <w:rPr>
          <w:rFonts w:ascii="Garamond" w:hAnsi="Garamond"/>
          <w:b/>
        </w:rPr>
        <w:t>Zamawiający wyraża zgodę.</w:t>
      </w:r>
      <w:r w:rsidR="00183EF5" w:rsidRPr="002F6709">
        <w:rPr>
          <w:rFonts w:ascii="Garamond" w:hAnsi="Garamond"/>
          <w:b/>
        </w:rPr>
        <w:t xml:space="preserve"> W przypadku oprogramowania pozwalającego na interpretację wyników oznaczenia testu wydzielania interferonu gamma do oceny prawdopodobieństwa/wykrywania wczesnej fazy zakażenia krętkami </w:t>
      </w:r>
      <w:proofErr w:type="spellStart"/>
      <w:r w:rsidR="00183EF5" w:rsidRPr="002F6709">
        <w:rPr>
          <w:rFonts w:ascii="Garamond" w:hAnsi="Garamond"/>
          <w:b/>
        </w:rPr>
        <w:t>Borrelia</w:t>
      </w:r>
      <w:proofErr w:type="spellEnd"/>
      <w:r w:rsidR="00183EF5" w:rsidRPr="002F6709">
        <w:rPr>
          <w:rFonts w:ascii="Garamond" w:hAnsi="Garamond"/>
          <w:b/>
        </w:rPr>
        <w:t xml:space="preserve"> </w:t>
      </w:r>
      <w:proofErr w:type="spellStart"/>
      <w:r w:rsidR="00183EF5" w:rsidRPr="002F6709">
        <w:rPr>
          <w:rFonts w:ascii="Garamond" w:hAnsi="Garamond"/>
          <w:b/>
        </w:rPr>
        <w:t>burgdorferi</w:t>
      </w:r>
      <w:proofErr w:type="spellEnd"/>
      <w:r w:rsidR="00183EF5" w:rsidRPr="002F6709">
        <w:rPr>
          <w:rFonts w:ascii="Garamond" w:hAnsi="Garamond"/>
          <w:b/>
        </w:rPr>
        <w:t xml:space="preserve"> (sensu lato) z poz. 5 </w:t>
      </w:r>
      <w:r w:rsidR="006D15E9" w:rsidRPr="002F6709">
        <w:rPr>
          <w:rFonts w:ascii="Garamond" w:hAnsi="Garamond"/>
          <w:b/>
        </w:rPr>
        <w:t xml:space="preserve">(w zakresie </w:t>
      </w:r>
      <w:r w:rsidR="00183EF5" w:rsidRPr="002F6709">
        <w:rPr>
          <w:rFonts w:ascii="Garamond" w:hAnsi="Garamond"/>
          <w:b/>
        </w:rPr>
        <w:t>część 2)</w:t>
      </w:r>
      <w:r w:rsidR="006D15E9" w:rsidRPr="002F6709">
        <w:rPr>
          <w:rFonts w:ascii="Garamond" w:hAnsi="Garamond"/>
        </w:rPr>
        <w:t xml:space="preserve"> </w:t>
      </w:r>
      <w:r w:rsidR="00997310" w:rsidRPr="002F6709">
        <w:rPr>
          <w:rFonts w:ascii="Garamond" w:hAnsi="Garamond"/>
          <w:b/>
        </w:rPr>
        <w:t>załącznika</w:t>
      </w:r>
      <w:r w:rsidR="006D15E9" w:rsidRPr="002F6709">
        <w:rPr>
          <w:rFonts w:ascii="Garamond" w:hAnsi="Garamond"/>
          <w:b/>
        </w:rPr>
        <w:t xml:space="preserve"> nr 1</w:t>
      </w:r>
      <w:r w:rsidR="00997310" w:rsidRPr="002F6709">
        <w:rPr>
          <w:rFonts w:ascii="Garamond" w:hAnsi="Garamond"/>
          <w:b/>
        </w:rPr>
        <w:t>b</w:t>
      </w:r>
      <w:r w:rsidR="006D15E9" w:rsidRPr="002F6709">
        <w:rPr>
          <w:rFonts w:ascii="Garamond" w:hAnsi="Garamond"/>
          <w:b/>
        </w:rPr>
        <w:t xml:space="preserve"> </w:t>
      </w:r>
      <w:r w:rsidR="00183EF5" w:rsidRPr="002F6709">
        <w:rPr>
          <w:rFonts w:ascii="Garamond" w:hAnsi="Garamond"/>
          <w:b/>
        </w:rPr>
        <w:t xml:space="preserve"> do SWZ, Zamawiający dopuszcza proponowane rozwiązanie polegające na wykonaniu dwustronnej ko</w:t>
      </w:r>
      <w:r w:rsidR="006D15E9" w:rsidRPr="002F6709">
        <w:rPr>
          <w:rFonts w:ascii="Garamond" w:hAnsi="Garamond"/>
          <w:b/>
        </w:rPr>
        <w:t>munikacji oferowanego sprzętu z </w:t>
      </w:r>
      <w:r w:rsidR="00183EF5" w:rsidRPr="002F6709">
        <w:rPr>
          <w:rFonts w:ascii="Garamond" w:hAnsi="Garamond"/>
          <w:b/>
        </w:rPr>
        <w:t>Laboratoryjnym Systemem Informatycznym (LIS) w terminie uzgodniony</w:t>
      </w:r>
      <w:r w:rsidR="004010FB" w:rsidRPr="002F6709">
        <w:rPr>
          <w:rFonts w:ascii="Garamond" w:hAnsi="Garamond"/>
          <w:b/>
        </w:rPr>
        <w:t>m i zaakceptowanym przez Zamawiającego</w:t>
      </w:r>
      <w:r w:rsidR="00183EF5" w:rsidRPr="002F6709">
        <w:rPr>
          <w:rFonts w:ascii="Garamond" w:hAnsi="Garamond"/>
          <w:b/>
        </w:rPr>
        <w:t>, ale nie dłuższym niż 60 dni od dnia zgł</w:t>
      </w:r>
      <w:r w:rsidR="004010FB" w:rsidRPr="002F6709">
        <w:rPr>
          <w:rFonts w:ascii="Garamond" w:hAnsi="Garamond"/>
          <w:b/>
        </w:rPr>
        <w:t>oszenia gotowości przez Zamawiającego.</w:t>
      </w:r>
      <w:r w:rsidR="00DD39AB" w:rsidRPr="002F6709">
        <w:rPr>
          <w:rFonts w:ascii="Garamond" w:hAnsi="Garamond"/>
          <w:b/>
        </w:rPr>
        <w:t xml:space="preserve"> Zmianie ulega §3b ust 1 który przyjmuje następujące brzmienie:</w:t>
      </w:r>
    </w:p>
    <w:p w14:paraId="0904CA39" w14:textId="17CEA9A0" w:rsidR="00DD39AB" w:rsidRPr="002F6709" w:rsidRDefault="00DD39AB" w:rsidP="00D136B2">
      <w:pPr>
        <w:jc w:val="both"/>
        <w:rPr>
          <w:rFonts w:ascii="Garamond" w:hAnsi="Garamond"/>
          <w:b/>
        </w:rPr>
      </w:pPr>
    </w:p>
    <w:p w14:paraId="6E4E2C73" w14:textId="406DC741" w:rsidR="00DD39AB" w:rsidRPr="002F6709" w:rsidRDefault="00DD39AB" w:rsidP="00DD39AB">
      <w:pPr>
        <w:jc w:val="center"/>
        <w:rPr>
          <w:rFonts w:ascii="Garamond" w:hAnsi="Garamond"/>
          <w:b/>
          <w:i/>
        </w:rPr>
      </w:pPr>
      <w:r w:rsidRPr="002F6709">
        <w:rPr>
          <w:rFonts w:ascii="Garamond" w:hAnsi="Garamond"/>
          <w:b/>
          <w:i/>
        </w:rPr>
        <w:t>„§3b</w:t>
      </w:r>
    </w:p>
    <w:p w14:paraId="53E1F14E" w14:textId="402F4ACA" w:rsidR="00DD39AB" w:rsidRPr="002F6709" w:rsidRDefault="00DD39AB" w:rsidP="00DD39AB">
      <w:pPr>
        <w:pStyle w:val="Textbodyindent"/>
        <w:numPr>
          <w:ilvl w:val="0"/>
          <w:numId w:val="7"/>
        </w:numPr>
        <w:rPr>
          <w:rFonts w:ascii="Garamond" w:hAnsi="Garamond"/>
        </w:rPr>
      </w:pPr>
      <w:r w:rsidRPr="002F6709">
        <w:rPr>
          <w:rFonts w:ascii="Garamond" w:hAnsi="Garamond"/>
          <w:i/>
          <w:sz w:val="22"/>
          <w:szCs w:val="22"/>
          <w:lang w:val="pl-PL"/>
        </w:rPr>
        <w:t xml:space="preserve">Wykonawca zobowiązuje się do zapewnienia na własny koszt, zawarty w kwocie wskazanej w § 4 ust. 1 lit. B Umowy, dwustronnej komunikacji Sprzętu z Laboratoryjnym Systemem Informatycznym (LSI) w terminie </w:t>
      </w:r>
      <w:r w:rsidRPr="002F6709">
        <w:rPr>
          <w:rFonts w:ascii="Garamond" w:hAnsi="Garamond"/>
          <w:i/>
          <w:sz w:val="22"/>
          <w:szCs w:val="22"/>
          <w:lang w:val="pl-PL"/>
        </w:rPr>
        <w:lastRenderedPageBreak/>
        <w:t xml:space="preserve">uzgodnionym i zaakceptowanym przez Szpital Uniwersytecki, jednak nie dłuższym niż </w:t>
      </w:r>
      <w:r w:rsidRPr="002F6709">
        <w:rPr>
          <w:rFonts w:ascii="Garamond" w:hAnsi="Garamond"/>
          <w:b/>
          <w:i/>
          <w:sz w:val="22"/>
          <w:szCs w:val="22"/>
          <w:lang w:val="pl-PL"/>
        </w:rPr>
        <w:t>14</w:t>
      </w:r>
      <w:r w:rsidRPr="002F6709">
        <w:rPr>
          <w:rFonts w:ascii="Garamond" w:hAnsi="Garamond"/>
          <w:b/>
          <w:sz w:val="22"/>
          <w:szCs w:val="22"/>
          <w:lang w:val="pl-PL"/>
        </w:rPr>
        <w:t xml:space="preserve"> </w:t>
      </w:r>
      <w:r w:rsidRPr="002F6709">
        <w:rPr>
          <w:rFonts w:ascii="Garamond" w:hAnsi="Garamond"/>
          <w:b/>
          <w:i/>
          <w:sz w:val="22"/>
          <w:szCs w:val="22"/>
          <w:lang w:val="pl-PL"/>
        </w:rPr>
        <w:t>dni/60 dni</w:t>
      </w:r>
      <w:r w:rsidRPr="002F6709">
        <w:rPr>
          <w:rStyle w:val="Odwoanieprzypisudolnego"/>
          <w:rFonts w:ascii="Garamond" w:hAnsi="Garamond"/>
          <w:b/>
          <w:i/>
          <w:sz w:val="22"/>
          <w:szCs w:val="22"/>
          <w:lang w:val="pl-PL"/>
        </w:rPr>
        <w:footnoteReference w:id="1"/>
      </w:r>
      <w:r w:rsidRPr="002F6709">
        <w:rPr>
          <w:rFonts w:ascii="Garamond" w:hAnsi="Garamond"/>
          <w:i/>
          <w:sz w:val="22"/>
          <w:szCs w:val="22"/>
          <w:lang w:val="pl-PL"/>
        </w:rPr>
        <w:t xml:space="preserve"> od dnia zgłoszenia przez Szpital Uniwersytecki gotowości do podłączenia oraz jej utrzymania w okresie obowiązywania umowy.”</w:t>
      </w:r>
    </w:p>
    <w:p w14:paraId="0B5C38FE" w14:textId="1C1B351B" w:rsidR="00B01450" w:rsidRPr="002F6709" w:rsidRDefault="00B01450" w:rsidP="00631473">
      <w:pPr>
        <w:jc w:val="both"/>
        <w:rPr>
          <w:rFonts w:ascii="Garamond" w:hAnsi="Garamond"/>
          <w:b/>
          <w:lang w:eastAsia="pl-PL"/>
        </w:rPr>
      </w:pPr>
    </w:p>
    <w:p w14:paraId="5EB6101C" w14:textId="78E67FB3" w:rsidR="005359CA" w:rsidRPr="002F6709" w:rsidRDefault="00C42CE6" w:rsidP="005359CA">
      <w:pPr>
        <w:jc w:val="both"/>
        <w:rPr>
          <w:rFonts w:ascii="Garamond" w:hAnsi="Garamond"/>
          <w:b/>
          <w:lang w:eastAsia="pl-PL"/>
        </w:rPr>
      </w:pPr>
      <w:r w:rsidRPr="002F6709">
        <w:rPr>
          <w:rFonts w:ascii="Garamond" w:hAnsi="Garamond"/>
          <w:b/>
          <w:lang w:eastAsia="pl-PL"/>
        </w:rPr>
        <w:t>Pytanie 3</w:t>
      </w:r>
    </w:p>
    <w:p w14:paraId="0994F8C9" w14:textId="77777777" w:rsidR="005359CA" w:rsidRPr="002F6709" w:rsidRDefault="005359CA" w:rsidP="005359CA">
      <w:pPr>
        <w:widowControl/>
        <w:autoSpaceDE w:val="0"/>
        <w:autoSpaceDN w:val="0"/>
        <w:adjustRightInd w:val="0"/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>Część nr 2</w:t>
      </w:r>
    </w:p>
    <w:p w14:paraId="3318FF1A" w14:textId="3DBE00A5" w:rsidR="005359CA" w:rsidRPr="002F6709" w:rsidRDefault="005359CA" w:rsidP="005359CA">
      <w:pPr>
        <w:widowControl/>
        <w:autoSpaceDE w:val="0"/>
        <w:autoSpaceDN w:val="0"/>
        <w:adjustRightInd w:val="0"/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 xml:space="preserve">dotyczy Załącznika nr 1 b - Opis wymagań granicznych oferowanego aparatu pkt 5 „Test wydzielania interferonu gamma do oceny prawdopodobieństwa/wykrywania wczesnej fazy zakażenia krętkami Borrelia burgdorferi (sensu lato)”, </w:t>
      </w:r>
    </w:p>
    <w:p w14:paraId="276B0D15" w14:textId="12842FD8" w:rsidR="005359CA" w:rsidRPr="002F6709" w:rsidRDefault="005359CA" w:rsidP="005359CA">
      <w:pPr>
        <w:widowControl/>
        <w:autoSpaceDE w:val="0"/>
        <w:autoSpaceDN w:val="0"/>
        <w:adjustRightInd w:val="0"/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 xml:space="preserve">Prosimy o doprecyzowanie czy Zamawiający wymaga do oceny prawdopodobieństwa/ wykrywania wczesnej fazy zakażenia krętkami Borrelia burgdorferi sensu lato (w tym przeciwko szczepom </w:t>
      </w:r>
      <w:proofErr w:type="spellStart"/>
      <w:r w:rsidRPr="002F6709">
        <w:rPr>
          <w:rFonts w:ascii="Garamond" w:hAnsi="Garamond"/>
          <w:lang w:eastAsia="pl-PL"/>
        </w:rPr>
        <w:t>Borrelia</w:t>
      </w:r>
      <w:proofErr w:type="spellEnd"/>
      <w:r w:rsidRPr="002F6709">
        <w:rPr>
          <w:rFonts w:ascii="Garamond" w:hAnsi="Garamond"/>
          <w:lang w:eastAsia="pl-PL"/>
        </w:rPr>
        <w:t xml:space="preserve"> </w:t>
      </w:r>
      <w:proofErr w:type="spellStart"/>
      <w:r w:rsidRPr="002F6709">
        <w:rPr>
          <w:rFonts w:ascii="Garamond" w:hAnsi="Garamond"/>
          <w:lang w:eastAsia="pl-PL"/>
        </w:rPr>
        <w:t>burgdorferi</w:t>
      </w:r>
      <w:proofErr w:type="spellEnd"/>
      <w:r w:rsidRPr="002F6709">
        <w:rPr>
          <w:rFonts w:ascii="Garamond" w:hAnsi="Garamond"/>
          <w:lang w:eastAsia="pl-PL"/>
        </w:rPr>
        <w:t xml:space="preserve"> sensu stricto, </w:t>
      </w:r>
      <w:proofErr w:type="spellStart"/>
      <w:r w:rsidRPr="002F6709">
        <w:rPr>
          <w:rFonts w:ascii="Garamond" w:hAnsi="Garamond"/>
          <w:lang w:eastAsia="pl-PL"/>
        </w:rPr>
        <w:t>Borrelia</w:t>
      </w:r>
      <w:proofErr w:type="spellEnd"/>
      <w:r w:rsidRPr="002F6709">
        <w:rPr>
          <w:rFonts w:ascii="Garamond" w:hAnsi="Garamond"/>
          <w:lang w:eastAsia="pl-PL"/>
        </w:rPr>
        <w:t xml:space="preserve"> </w:t>
      </w:r>
      <w:proofErr w:type="spellStart"/>
      <w:r w:rsidRPr="002F6709">
        <w:rPr>
          <w:rFonts w:ascii="Garamond" w:hAnsi="Garamond"/>
          <w:lang w:eastAsia="pl-PL"/>
        </w:rPr>
        <w:t>garinii</w:t>
      </w:r>
      <w:proofErr w:type="spellEnd"/>
      <w:r w:rsidRPr="002F6709">
        <w:rPr>
          <w:rFonts w:ascii="Garamond" w:hAnsi="Garamond"/>
          <w:lang w:eastAsia="pl-PL"/>
        </w:rPr>
        <w:t xml:space="preserve">, </w:t>
      </w:r>
      <w:proofErr w:type="spellStart"/>
      <w:r w:rsidRPr="002F6709">
        <w:rPr>
          <w:rFonts w:ascii="Garamond" w:hAnsi="Garamond"/>
          <w:lang w:eastAsia="pl-PL"/>
        </w:rPr>
        <w:t>Borrelia</w:t>
      </w:r>
      <w:proofErr w:type="spellEnd"/>
      <w:r w:rsidRPr="002F6709">
        <w:rPr>
          <w:rFonts w:ascii="Garamond" w:hAnsi="Garamond"/>
          <w:lang w:eastAsia="pl-PL"/>
        </w:rPr>
        <w:t xml:space="preserve"> </w:t>
      </w:r>
      <w:proofErr w:type="spellStart"/>
      <w:r w:rsidRPr="002F6709">
        <w:rPr>
          <w:rFonts w:ascii="Garamond" w:hAnsi="Garamond"/>
          <w:lang w:eastAsia="pl-PL"/>
        </w:rPr>
        <w:t>afzelii</w:t>
      </w:r>
      <w:proofErr w:type="spellEnd"/>
      <w:r w:rsidRPr="002F6709">
        <w:rPr>
          <w:rFonts w:ascii="Garamond" w:hAnsi="Garamond"/>
          <w:lang w:eastAsia="pl-PL"/>
        </w:rPr>
        <w:t xml:space="preserve">) testu opartego na trzech połączonych testach chemiluminescencyjnych (CLIA), umożliwiających łączne wykrywanie odpowiedzi komórkowej (ilościowe oznaczanie wydzielania interferonu gamma) i odpowiedzi humoralnej (oznaczenie swoistych przeciwciał </w:t>
      </w:r>
      <w:proofErr w:type="spellStart"/>
      <w:r w:rsidRPr="002F6709">
        <w:rPr>
          <w:rFonts w:ascii="Garamond" w:hAnsi="Garamond"/>
          <w:lang w:eastAsia="pl-PL"/>
        </w:rPr>
        <w:t>IgG</w:t>
      </w:r>
      <w:proofErr w:type="spellEnd"/>
      <w:r w:rsidRPr="002F6709">
        <w:rPr>
          <w:rFonts w:ascii="Garamond" w:hAnsi="Garamond"/>
          <w:lang w:eastAsia="pl-PL"/>
        </w:rPr>
        <w:t xml:space="preserve"> i </w:t>
      </w:r>
      <w:proofErr w:type="spellStart"/>
      <w:r w:rsidRPr="002F6709">
        <w:rPr>
          <w:rFonts w:ascii="Garamond" w:hAnsi="Garamond"/>
          <w:lang w:eastAsia="pl-PL"/>
        </w:rPr>
        <w:t>IgM</w:t>
      </w:r>
      <w:proofErr w:type="spellEnd"/>
      <w:r w:rsidRPr="002F6709">
        <w:rPr>
          <w:rFonts w:ascii="Garamond" w:hAnsi="Garamond"/>
          <w:lang w:eastAsia="pl-PL"/>
        </w:rPr>
        <w:t xml:space="preserve"> przeciwko Borrelia burgdorferi sensu lato), w którym interpretacja wyników odbywa się za pomocą algorytmu łączącego trzy testy zawarte w pakiecie? </w:t>
      </w:r>
    </w:p>
    <w:p w14:paraId="404C9FF4" w14:textId="67ECDC40" w:rsidR="00A10AE2" w:rsidRPr="002F6709" w:rsidRDefault="00C42CE6" w:rsidP="005359CA">
      <w:pPr>
        <w:jc w:val="both"/>
        <w:rPr>
          <w:rFonts w:ascii="Garamond" w:hAnsi="Garamond"/>
          <w:b/>
          <w:strike/>
        </w:rPr>
      </w:pPr>
      <w:r w:rsidRPr="002F6709">
        <w:rPr>
          <w:rFonts w:ascii="Garamond" w:hAnsi="Garamond"/>
          <w:b/>
          <w:lang w:eastAsia="pl-PL"/>
        </w:rPr>
        <w:t>Odpowiedź:</w:t>
      </w:r>
      <w:r w:rsidR="00245134" w:rsidRPr="002F6709">
        <w:rPr>
          <w:rFonts w:ascii="Garamond" w:hAnsi="Garamond"/>
          <w:b/>
        </w:rPr>
        <w:t xml:space="preserve"> </w:t>
      </w:r>
      <w:r w:rsidR="00C041E4" w:rsidRPr="002F6709">
        <w:rPr>
          <w:rFonts w:ascii="Garamond" w:hAnsi="Garamond"/>
          <w:b/>
        </w:rPr>
        <w:t>Ze względu na nowatorski</w:t>
      </w:r>
      <w:r w:rsidR="005F398A" w:rsidRPr="002F6709">
        <w:rPr>
          <w:rFonts w:ascii="Garamond" w:hAnsi="Garamond"/>
          <w:b/>
        </w:rPr>
        <w:t xml:space="preserve"> i unikalny</w:t>
      </w:r>
      <w:r w:rsidR="00C041E4" w:rsidRPr="002F6709">
        <w:rPr>
          <w:rFonts w:ascii="Garamond" w:hAnsi="Garamond"/>
          <w:b/>
        </w:rPr>
        <w:t xml:space="preserve"> charakter badania Zamawiający nie określił dokładnego sposobu przeprowadzenia procedury testowej</w:t>
      </w:r>
      <w:r w:rsidR="00281ADE" w:rsidRPr="002F6709">
        <w:rPr>
          <w:rFonts w:ascii="Garamond" w:hAnsi="Garamond"/>
          <w:b/>
        </w:rPr>
        <w:t>,</w:t>
      </w:r>
      <w:r w:rsidR="00C041E4" w:rsidRPr="002F6709">
        <w:rPr>
          <w:rFonts w:ascii="Garamond" w:hAnsi="Garamond"/>
          <w:b/>
        </w:rPr>
        <w:t xml:space="preserve"> pozostawiając Wykonawcy </w:t>
      </w:r>
      <w:r w:rsidR="00281ADE" w:rsidRPr="002F6709">
        <w:rPr>
          <w:rFonts w:ascii="Garamond" w:hAnsi="Garamond"/>
          <w:b/>
        </w:rPr>
        <w:t>metodykę</w:t>
      </w:r>
      <w:r w:rsidR="00C041E4" w:rsidRPr="002F6709">
        <w:rPr>
          <w:rFonts w:ascii="Garamond" w:hAnsi="Garamond"/>
          <w:b/>
        </w:rPr>
        <w:t xml:space="preserve"> </w:t>
      </w:r>
      <w:r w:rsidR="00281ADE" w:rsidRPr="002F6709">
        <w:rPr>
          <w:rFonts w:ascii="Garamond" w:hAnsi="Garamond"/>
          <w:b/>
        </w:rPr>
        <w:t>uzyskiwania</w:t>
      </w:r>
      <w:r w:rsidR="00C041E4" w:rsidRPr="002F6709">
        <w:rPr>
          <w:rFonts w:ascii="Garamond" w:hAnsi="Garamond"/>
          <w:b/>
        </w:rPr>
        <w:t xml:space="preserve"> </w:t>
      </w:r>
      <w:r w:rsidR="00281ADE" w:rsidRPr="002F6709">
        <w:rPr>
          <w:rFonts w:ascii="Garamond" w:hAnsi="Garamond"/>
          <w:b/>
        </w:rPr>
        <w:t xml:space="preserve">parametrów </w:t>
      </w:r>
      <w:r w:rsidR="00C041E4" w:rsidRPr="002F6709">
        <w:rPr>
          <w:rFonts w:ascii="Garamond" w:hAnsi="Garamond"/>
          <w:b/>
        </w:rPr>
        <w:t>wymaganych do</w:t>
      </w:r>
      <w:r w:rsidR="00281ADE" w:rsidRPr="002F6709">
        <w:rPr>
          <w:rFonts w:ascii="Garamond" w:hAnsi="Garamond"/>
          <w:b/>
        </w:rPr>
        <w:t xml:space="preserve"> końcowej</w:t>
      </w:r>
      <w:r w:rsidR="00C041E4" w:rsidRPr="002F6709">
        <w:rPr>
          <w:rFonts w:ascii="Garamond" w:hAnsi="Garamond"/>
          <w:b/>
        </w:rPr>
        <w:t xml:space="preserve"> interpretacji</w:t>
      </w:r>
      <w:r w:rsidR="00281ADE" w:rsidRPr="002F6709">
        <w:rPr>
          <w:rFonts w:ascii="Garamond" w:hAnsi="Garamond"/>
          <w:b/>
        </w:rPr>
        <w:t xml:space="preserve"> wyniku</w:t>
      </w:r>
      <w:r w:rsidR="00C041E4" w:rsidRPr="002F6709">
        <w:rPr>
          <w:rFonts w:ascii="Garamond" w:hAnsi="Garamond"/>
          <w:b/>
        </w:rPr>
        <w:t xml:space="preserve">. </w:t>
      </w:r>
      <w:r w:rsidR="000E352F" w:rsidRPr="002F6709">
        <w:rPr>
          <w:rFonts w:ascii="Garamond" w:hAnsi="Garamond"/>
          <w:b/>
        </w:rPr>
        <w:t>Zamawiający dopuszcza z</w:t>
      </w:r>
      <w:r w:rsidR="00C041E4" w:rsidRPr="002F6709">
        <w:rPr>
          <w:rFonts w:ascii="Garamond" w:hAnsi="Garamond"/>
          <w:b/>
        </w:rPr>
        <w:t>aproponowane rozwiązanie</w:t>
      </w:r>
      <w:r w:rsidR="000E352F" w:rsidRPr="002F6709">
        <w:rPr>
          <w:rFonts w:ascii="Garamond" w:hAnsi="Garamond"/>
          <w:b/>
        </w:rPr>
        <w:t xml:space="preserve"> ponieważ</w:t>
      </w:r>
      <w:r w:rsidR="00C041E4" w:rsidRPr="002F6709">
        <w:rPr>
          <w:rFonts w:ascii="Garamond" w:hAnsi="Garamond"/>
          <w:b/>
        </w:rPr>
        <w:t xml:space="preserve"> jest zg</w:t>
      </w:r>
      <w:r w:rsidR="004010FB" w:rsidRPr="002F6709">
        <w:rPr>
          <w:rFonts w:ascii="Garamond" w:hAnsi="Garamond"/>
          <w:b/>
        </w:rPr>
        <w:t xml:space="preserve">odne z założeniami Zamawiającego. </w:t>
      </w:r>
    </w:p>
    <w:p w14:paraId="4548B545" w14:textId="5263DBAC" w:rsidR="009E1A64" w:rsidRPr="002F6709" w:rsidRDefault="00281ADE" w:rsidP="005359CA">
      <w:pPr>
        <w:jc w:val="both"/>
        <w:rPr>
          <w:rFonts w:ascii="Garamond" w:eastAsiaTheme="minorHAnsi" w:hAnsi="Garamond" w:cstheme="minorBidi"/>
          <w:b/>
        </w:rPr>
      </w:pPr>
      <w:r w:rsidRPr="002F6709">
        <w:rPr>
          <w:rFonts w:ascii="Garamond" w:hAnsi="Garamond"/>
          <w:b/>
        </w:rPr>
        <w:t xml:space="preserve">Uwaga: Jeżeli metodyka badania </w:t>
      </w:r>
      <w:r w:rsidR="00735283" w:rsidRPr="002F6709">
        <w:rPr>
          <w:rFonts w:ascii="Garamond" w:hAnsi="Garamond"/>
          <w:b/>
        </w:rPr>
        <w:t>zakłada</w:t>
      </w:r>
      <w:r w:rsidRPr="002F6709">
        <w:rPr>
          <w:rFonts w:ascii="Garamond" w:hAnsi="Garamond"/>
          <w:b/>
        </w:rPr>
        <w:t xml:space="preserve"> </w:t>
      </w:r>
      <w:r w:rsidR="00A10AE2" w:rsidRPr="002F6709">
        <w:rPr>
          <w:rFonts w:ascii="Garamond" w:hAnsi="Garamond"/>
          <w:b/>
        </w:rPr>
        <w:t xml:space="preserve">konieczność </w:t>
      </w:r>
      <w:r w:rsidRPr="002F6709">
        <w:rPr>
          <w:rFonts w:ascii="Garamond" w:hAnsi="Garamond"/>
          <w:b/>
        </w:rPr>
        <w:t>wykonywani</w:t>
      </w:r>
      <w:r w:rsidR="00A10AE2" w:rsidRPr="002F6709">
        <w:rPr>
          <w:rFonts w:ascii="Garamond" w:hAnsi="Garamond"/>
          <w:b/>
        </w:rPr>
        <w:t>a</w:t>
      </w:r>
      <w:r w:rsidRPr="002F6709">
        <w:rPr>
          <w:rFonts w:ascii="Garamond" w:hAnsi="Garamond"/>
          <w:b/>
        </w:rPr>
        <w:t xml:space="preserve"> dodatkowych oznaczeń przeciwciał </w:t>
      </w:r>
      <w:proofErr w:type="spellStart"/>
      <w:r w:rsidRPr="002F6709">
        <w:rPr>
          <w:rFonts w:ascii="Garamond" w:hAnsi="Garamond"/>
          <w:b/>
        </w:rPr>
        <w:t>IgG</w:t>
      </w:r>
      <w:proofErr w:type="spellEnd"/>
      <w:r w:rsidRPr="002F6709">
        <w:rPr>
          <w:rFonts w:ascii="Garamond" w:hAnsi="Garamond"/>
          <w:b/>
        </w:rPr>
        <w:t xml:space="preserve"> oraz </w:t>
      </w:r>
      <w:proofErr w:type="spellStart"/>
      <w:r w:rsidRPr="002F6709">
        <w:rPr>
          <w:rFonts w:ascii="Garamond" w:hAnsi="Garamond"/>
          <w:b/>
        </w:rPr>
        <w:t>IgM</w:t>
      </w:r>
      <w:proofErr w:type="spellEnd"/>
      <w:r w:rsidRPr="002F6709">
        <w:rPr>
          <w:rFonts w:ascii="Garamond" w:hAnsi="Garamond"/>
          <w:b/>
        </w:rPr>
        <w:t xml:space="preserve"> to należy dodatkowo uwzględnić odpowiednią ilość zestawów odczynnikowych w ramach składanej oferty.</w:t>
      </w:r>
    </w:p>
    <w:p w14:paraId="2C00304B" w14:textId="77777777" w:rsidR="005359CA" w:rsidRPr="002F6709" w:rsidRDefault="005359CA" w:rsidP="005359CA">
      <w:pPr>
        <w:jc w:val="both"/>
        <w:rPr>
          <w:rFonts w:ascii="Garamond" w:hAnsi="Garamond"/>
          <w:b/>
          <w:lang w:eastAsia="pl-PL"/>
        </w:rPr>
      </w:pPr>
    </w:p>
    <w:p w14:paraId="53B9E46C" w14:textId="73B23C8C" w:rsidR="009B7FE0" w:rsidRPr="002F6709" w:rsidRDefault="00C42CE6" w:rsidP="00464381">
      <w:pPr>
        <w:jc w:val="both"/>
        <w:rPr>
          <w:rFonts w:ascii="Garamond" w:hAnsi="Garamond"/>
          <w:b/>
          <w:lang w:eastAsia="pl-PL"/>
        </w:rPr>
      </w:pPr>
      <w:r w:rsidRPr="002F6709">
        <w:rPr>
          <w:rFonts w:ascii="Garamond" w:hAnsi="Garamond"/>
          <w:b/>
          <w:lang w:eastAsia="pl-PL"/>
        </w:rPr>
        <w:t>Pytanie 4</w:t>
      </w:r>
    </w:p>
    <w:p w14:paraId="150D312F" w14:textId="77777777" w:rsidR="005359CA" w:rsidRPr="002F6709" w:rsidRDefault="005359CA" w:rsidP="005359CA">
      <w:pPr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>Część nr 2</w:t>
      </w:r>
    </w:p>
    <w:p w14:paraId="3624A27B" w14:textId="0BE1E48D" w:rsidR="005359CA" w:rsidRPr="002F6709" w:rsidRDefault="005359CA" w:rsidP="005359CA">
      <w:pPr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 xml:space="preserve">dotyczy Załącznika nr 1 b - Opis wymagań granicznych oferowanego aparatu pkt 21 „Możliwość wykonywania badań przynajmniej dla osocza EDTA i surowicy, a w przypadku zestawów do oznaczania przeciwciał przeciwko Borrelia burgdorferi (sensu lato) dla surowicy, osocza EDTA i płynu mózgowo-rdzeniowego” </w:t>
      </w:r>
    </w:p>
    <w:p w14:paraId="17C9AA97" w14:textId="60A5F02E" w:rsidR="005359CA" w:rsidRPr="002F6709" w:rsidRDefault="005359CA" w:rsidP="005359CA">
      <w:pPr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>Czy Zamawiający dopuści rozwiązanie, w którym test wydzielania interfer</w:t>
      </w:r>
      <w:r w:rsidR="00605546" w:rsidRPr="002F6709">
        <w:rPr>
          <w:rFonts w:ascii="Garamond" w:hAnsi="Garamond"/>
          <w:lang w:eastAsia="pl-PL"/>
        </w:rPr>
        <w:t>onu gamma wykonywany jest z </w:t>
      </w:r>
      <w:r w:rsidRPr="002F6709">
        <w:rPr>
          <w:rFonts w:ascii="Garamond" w:hAnsi="Garamond"/>
          <w:lang w:eastAsia="pl-PL"/>
        </w:rPr>
        <w:t xml:space="preserve">krwi pełnej, pobranej do </w:t>
      </w:r>
      <w:proofErr w:type="spellStart"/>
      <w:r w:rsidRPr="002F6709">
        <w:rPr>
          <w:rFonts w:ascii="Garamond" w:hAnsi="Garamond"/>
          <w:lang w:eastAsia="pl-PL"/>
        </w:rPr>
        <w:t>dedykownych</w:t>
      </w:r>
      <w:proofErr w:type="spellEnd"/>
      <w:r w:rsidRPr="002F6709">
        <w:rPr>
          <w:rFonts w:ascii="Garamond" w:hAnsi="Garamond"/>
          <w:lang w:eastAsia="pl-PL"/>
        </w:rPr>
        <w:t xml:space="preserve"> probówek oferowanych przez producenta testu?</w:t>
      </w:r>
    </w:p>
    <w:p w14:paraId="714706FA" w14:textId="7C70BCF6" w:rsidR="00782E6A" w:rsidRPr="002F6709" w:rsidRDefault="00C42CE6" w:rsidP="006D15E9">
      <w:pPr>
        <w:jc w:val="both"/>
        <w:rPr>
          <w:rFonts w:ascii="Garamond" w:hAnsi="Garamond"/>
          <w:b/>
        </w:rPr>
      </w:pPr>
      <w:r w:rsidRPr="002F6709">
        <w:rPr>
          <w:rFonts w:ascii="Garamond" w:hAnsi="Garamond"/>
          <w:b/>
          <w:lang w:eastAsia="pl-PL"/>
        </w:rPr>
        <w:t>Odpowiedź:</w:t>
      </w:r>
      <w:r w:rsidR="00245134" w:rsidRPr="002F6709">
        <w:rPr>
          <w:rFonts w:ascii="Garamond" w:hAnsi="Garamond"/>
        </w:rPr>
        <w:t xml:space="preserve"> </w:t>
      </w:r>
      <w:r w:rsidR="005F398A" w:rsidRPr="002F6709">
        <w:rPr>
          <w:rFonts w:ascii="Garamond" w:hAnsi="Garamond"/>
          <w:b/>
        </w:rPr>
        <w:t xml:space="preserve">Ze względu na nowatorski i unikalny charakter badania Zamawiający nie określił dokładnego sposobu przeprowadzenia procedury testowej, pozostawiając Wykonawcy metodykę uzyskiwania parametrów wymaganych do końcowej interpretacji wyniku. </w:t>
      </w:r>
      <w:r w:rsidR="000E352F" w:rsidRPr="002F6709">
        <w:rPr>
          <w:rFonts w:ascii="Garamond" w:hAnsi="Garamond"/>
          <w:b/>
        </w:rPr>
        <w:t>Zamawiający dopuszcza z</w:t>
      </w:r>
      <w:r w:rsidR="005F398A" w:rsidRPr="002F6709">
        <w:rPr>
          <w:rFonts w:ascii="Garamond" w:hAnsi="Garamond"/>
          <w:b/>
        </w:rPr>
        <w:t>aproponowane rozwiązanie</w:t>
      </w:r>
      <w:r w:rsidR="000E352F" w:rsidRPr="002F6709">
        <w:rPr>
          <w:rFonts w:ascii="Garamond" w:hAnsi="Garamond"/>
          <w:b/>
        </w:rPr>
        <w:t xml:space="preserve"> ponieważ</w:t>
      </w:r>
      <w:r w:rsidR="005F398A" w:rsidRPr="002F6709">
        <w:rPr>
          <w:rFonts w:ascii="Garamond" w:hAnsi="Garamond"/>
          <w:b/>
        </w:rPr>
        <w:t xml:space="preserve"> jest zgodne z założeniami Zamawiającego</w:t>
      </w:r>
      <w:r w:rsidR="000E352F" w:rsidRPr="002F6709">
        <w:rPr>
          <w:rFonts w:ascii="Garamond" w:hAnsi="Garamond"/>
          <w:b/>
        </w:rPr>
        <w:t xml:space="preserve">. </w:t>
      </w:r>
    </w:p>
    <w:p w14:paraId="0D66B465" w14:textId="534E6050" w:rsidR="00794178" w:rsidRPr="002F6709" w:rsidRDefault="00E93EBF" w:rsidP="00794178">
      <w:pPr>
        <w:jc w:val="both"/>
        <w:rPr>
          <w:rFonts w:ascii="Garamond" w:hAnsi="Garamond"/>
          <w:b/>
          <w:strike/>
        </w:rPr>
      </w:pPr>
      <w:r w:rsidRPr="002F6709">
        <w:rPr>
          <w:rFonts w:ascii="Garamond" w:hAnsi="Garamond"/>
          <w:b/>
          <w:strike/>
        </w:rPr>
        <w:t xml:space="preserve"> </w:t>
      </w:r>
    </w:p>
    <w:p w14:paraId="60C50078" w14:textId="10B0C379" w:rsidR="00794178" w:rsidRPr="002F6709" w:rsidRDefault="00794178" w:rsidP="00D178E4">
      <w:pPr>
        <w:jc w:val="both"/>
        <w:rPr>
          <w:rFonts w:ascii="Garamond" w:hAnsi="Garamond"/>
          <w:b/>
        </w:rPr>
      </w:pPr>
      <w:r w:rsidRPr="002F6709">
        <w:rPr>
          <w:rFonts w:ascii="Garamond" w:hAnsi="Garamond"/>
          <w:b/>
        </w:rPr>
        <w:t>Pytanie 5</w:t>
      </w:r>
    </w:p>
    <w:p w14:paraId="642858AA" w14:textId="6011E2B3" w:rsidR="00794178" w:rsidRPr="002F6709" w:rsidRDefault="00794178" w:rsidP="00794178">
      <w:pPr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 xml:space="preserve">w zakresie części 1: </w:t>
      </w:r>
    </w:p>
    <w:p w14:paraId="7ADE53E9" w14:textId="02589DBF" w:rsidR="00794178" w:rsidRPr="002F6709" w:rsidRDefault="00794178" w:rsidP="00794178">
      <w:pPr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 xml:space="preserve">Czy Zamawiający wyrazi zgodę na zaoferowania używanego, w pełni sprawnego automatycznego analizatora przeznaczony do wykonywania oznaczeń przeciwciał techniką </w:t>
      </w:r>
      <w:proofErr w:type="spellStart"/>
      <w:r w:rsidRPr="002F6709">
        <w:rPr>
          <w:rFonts w:ascii="Garamond" w:hAnsi="Garamond"/>
          <w:lang w:eastAsia="pl-PL"/>
        </w:rPr>
        <w:t>immunoblot</w:t>
      </w:r>
      <w:proofErr w:type="spellEnd"/>
      <w:r w:rsidRPr="002F6709">
        <w:rPr>
          <w:rFonts w:ascii="Garamond" w:hAnsi="Garamond"/>
          <w:lang w:eastAsia="pl-PL"/>
        </w:rPr>
        <w:t xml:space="preserve"> wyprodukowanego w 2016 r., posiadającego aktualne badania techniczne oraz paszport techniczny, spełniającego wszystkie zapisy SWZ ? </w:t>
      </w:r>
    </w:p>
    <w:p w14:paraId="50612DFF" w14:textId="578CFC2B" w:rsidR="00794178" w:rsidRPr="002F6709" w:rsidRDefault="00794178" w:rsidP="00794178">
      <w:pPr>
        <w:jc w:val="both"/>
        <w:rPr>
          <w:rFonts w:ascii="Garamond" w:hAnsi="Garamond"/>
          <w:b/>
          <w:lang w:eastAsia="pl-PL"/>
        </w:rPr>
      </w:pPr>
      <w:r w:rsidRPr="002F6709">
        <w:rPr>
          <w:rFonts w:ascii="Garamond" w:hAnsi="Garamond"/>
          <w:b/>
          <w:lang w:eastAsia="pl-PL"/>
        </w:rPr>
        <w:t xml:space="preserve">Odpowiedź: </w:t>
      </w:r>
      <w:r w:rsidR="00625AD7" w:rsidRPr="002F6709">
        <w:rPr>
          <w:rFonts w:ascii="Garamond" w:hAnsi="Garamond"/>
          <w:b/>
          <w:lang w:eastAsia="pl-PL"/>
        </w:rPr>
        <w:t>Zamawiający w o</w:t>
      </w:r>
      <w:r w:rsidR="00625AD7" w:rsidRPr="002F6709">
        <w:rPr>
          <w:rFonts w:ascii="Garamond" w:hAnsi="Garamond"/>
          <w:b/>
        </w:rPr>
        <w:t>pisie wymagań granicznych</w:t>
      </w:r>
      <w:r w:rsidR="00EC02EC" w:rsidRPr="002F6709">
        <w:rPr>
          <w:rFonts w:ascii="Garamond" w:hAnsi="Garamond"/>
          <w:b/>
        </w:rPr>
        <w:t xml:space="preserve"> dla części 1</w:t>
      </w:r>
      <w:r w:rsidR="00421E70" w:rsidRPr="002F6709">
        <w:rPr>
          <w:rFonts w:ascii="Garamond" w:hAnsi="Garamond"/>
          <w:b/>
        </w:rPr>
        <w:t xml:space="preserve"> </w:t>
      </w:r>
      <w:r w:rsidR="00625AD7" w:rsidRPr="002F6709">
        <w:rPr>
          <w:rFonts w:ascii="Garamond" w:hAnsi="Garamond"/>
          <w:b/>
          <w:lang w:eastAsia="pl-PL"/>
        </w:rPr>
        <w:t>nie okre</w:t>
      </w:r>
      <w:r w:rsidR="000E352F" w:rsidRPr="002F6709">
        <w:rPr>
          <w:rFonts w:ascii="Garamond" w:hAnsi="Garamond"/>
          <w:b/>
          <w:lang w:eastAsia="pl-PL"/>
        </w:rPr>
        <w:t>ślił roku produkcji analizatora.</w:t>
      </w:r>
      <w:r w:rsidR="00625AD7" w:rsidRPr="002F6709">
        <w:rPr>
          <w:rFonts w:ascii="Garamond" w:hAnsi="Garamond"/>
          <w:b/>
          <w:lang w:eastAsia="pl-PL"/>
        </w:rPr>
        <w:t xml:space="preserve"> </w:t>
      </w:r>
      <w:r w:rsidR="000E352F" w:rsidRPr="002F6709">
        <w:rPr>
          <w:rFonts w:ascii="Garamond" w:hAnsi="Garamond"/>
          <w:b/>
          <w:lang w:eastAsia="pl-PL"/>
        </w:rPr>
        <w:t>Zamawiający określił, iż</w:t>
      </w:r>
      <w:r w:rsidR="00C14CB2" w:rsidRPr="002F6709">
        <w:rPr>
          <w:rFonts w:ascii="Garamond" w:hAnsi="Garamond"/>
          <w:b/>
          <w:lang w:eastAsia="pl-PL"/>
        </w:rPr>
        <w:t xml:space="preserve"> urządzenie</w:t>
      </w:r>
      <w:r w:rsidR="000E352F" w:rsidRPr="002F6709">
        <w:rPr>
          <w:rFonts w:ascii="Garamond" w:hAnsi="Garamond"/>
          <w:b/>
          <w:lang w:eastAsia="pl-PL"/>
        </w:rPr>
        <w:t> </w:t>
      </w:r>
      <w:r w:rsidR="00C14CB2" w:rsidRPr="002F6709">
        <w:rPr>
          <w:rFonts w:ascii="Garamond" w:hAnsi="Garamond"/>
          <w:b/>
          <w:lang w:eastAsia="pl-PL"/>
        </w:rPr>
        <w:t>musi być sprawne</w:t>
      </w:r>
      <w:r w:rsidR="00625AD7" w:rsidRPr="002F6709">
        <w:rPr>
          <w:rFonts w:ascii="Garamond" w:hAnsi="Garamond"/>
          <w:b/>
          <w:lang w:eastAsia="pl-PL"/>
        </w:rPr>
        <w:t xml:space="preserve"> technicznie i podlegać adekwatnej do</w:t>
      </w:r>
      <w:r w:rsidR="00D911A2" w:rsidRPr="002F6709">
        <w:rPr>
          <w:rFonts w:ascii="Garamond" w:hAnsi="Garamond"/>
          <w:b/>
          <w:lang w:eastAsia="pl-PL"/>
        </w:rPr>
        <w:t xml:space="preserve"> potrzeb, udokumentowanej obsłudze</w:t>
      </w:r>
      <w:r w:rsidR="00625AD7" w:rsidRPr="002F6709">
        <w:rPr>
          <w:rFonts w:ascii="Garamond" w:hAnsi="Garamond"/>
          <w:b/>
          <w:lang w:eastAsia="pl-PL"/>
        </w:rPr>
        <w:t xml:space="preserve"> serwisowej. </w:t>
      </w:r>
      <w:r w:rsidR="00B1076A" w:rsidRPr="002F6709">
        <w:rPr>
          <w:rFonts w:ascii="Garamond" w:hAnsi="Garamond"/>
          <w:b/>
          <w:lang w:eastAsia="pl-PL"/>
        </w:rPr>
        <w:t>W związku z powyższym</w:t>
      </w:r>
      <w:r w:rsidR="000E352F" w:rsidRPr="002F6709">
        <w:rPr>
          <w:rFonts w:ascii="Garamond" w:hAnsi="Garamond"/>
          <w:b/>
          <w:lang w:eastAsia="pl-PL"/>
        </w:rPr>
        <w:t xml:space="preserve"> Zamawiający dopuszcza</w:t>
      </w:r>
      <w:r w:rsidR="00B1076A" w:rsidRPr="002F6709">
        <w:rPr>
          <w:rFonts w:ascii="Garamond" w:hAnsi="Garamond"/>
          <w:b/>
          <w:lang w:eastAsia="pl-PL"/>
        </w:rPr>
        <w:t xml:space="preserve"> p</w:t>
      </w:r>
      <w:r w:rsidR="00625AD7" w:rsidRPr="002F6709">
        <w:rPr>
          <w:rFonts w:ascii="Garamond" w:hAnsi="Garamond"/>
          <w:b/>
          <w:lang w:eastAsia="pl-PL"/>
        </w:rPr>
        <w:t>roponowane rozwiązanie</w:t>
      </w:r>
      <w:r w:rsidR="000E352F" w:rsidRPr="002F6709">
        <w:rPr>
          <w:rFonts w:ascii="Garamond" w:hAnsi="Garamond"/>
          <w:b/>
          <w:lang w:eastAsia="pl-PL"/>
        </w:rPr>
        <w:t xml:space="preserve"> ponieważ</w:t>
      </w:r>
      <w:r w:rsidR="00625AD7" w:rsidRPr="002F6709">
        <w:rPr>
          <w:rFonts w:ascii="Garamond" w:hAnsi="Garamond"/>
          <w:b/>
          <w:lang w:eastAsia="pl-PL"/>
        </w:rPr>
        <w:t xml:space="preserve"> mieści się w granicach określonych </w:t>
      </w:r>
      <w:r w:rsidR="00A36CFC" w:rsidRPr="002F6709">
        <w:rPr>
          <w:rFonts w:ascii="Garamond" w:hAnsi="Garamond"/>
          <w:b/>
          <w:lang w:eastAsia="pl-PL"/>
        </w:rPr>
        <w:t xml:space="preserve">wymaganiami </w:t>
      </w:r>
      <w:r w:rsidR="0024768C" w:rsidRPr="002F6709">
        <w:rPr>
          <w:rFonts w:ascii="Garamond" w:hAnsi="Garamond"/>
          <w:b/>
          <w:lang w:eastAsia="pl-PL"/>
        </w:rPr>
        <w:t>Zamawiającego</w:t>
      </w:r>
      <w:r w:rsidR="00A36CFC" w:rsidRPr="002F6709">
        <w:rPr>
          <w:rFonts w:ascii="Garamond" w:hAnsi="Garamond"/>
          <w:b/>
          <w:lang w:eastAsia="pl-PL"/>
        </w:rPr>
        <w:t>.</w:t>
      </w:r>
    </w:p>
    <w:p w14:paraId="3B2E7E88" w14:textId="59CE6771" w:rsidR="00794178" w:rsidRDefault="00794178" w:rsidP="00794178">
      <w:pPr>
        <w:jc w:val="both"/>
        <w:rPr>
          <w:rFonts w:ascii="Garamond" w:hAnsi="Garamond"/>
          <w:b/>
          <w:lang w:eastAsia="pl-PL"/>
        </w:rPr>
      </w:pPr>
    </w:p>
    <w:p w14:paraId="5E634652" w14:textId="77777777" w:rsidR="003F4BFC" w:rsidRPr="002F6709" w:rsidRDefault="003F4BFC" w:rsidP="00794178">
      <w:pPr>
        <w:jc w:val="both"/>
        <w:rPr>
          <w:rFonts w:ascii="Garamond" w:hAnsi="Garamond"/>
          <w:b/>
          <w:lang w:eastAsia="pl-PL"/>
        </w:rPr>
      </w:pPr>
    </w:p>
    <w:p w14:paraId="2DBBFB7F" w14:textId="1EEBA44D" w:rsidR="00794178" w:rsidRPr="002F6709" w:rsidRDefault="00794178" w:rsidP="00794178">
      <w:pPr>
        <w:jc w:val="both"/>
        <w:rPr>
          <w:rFonts w:ascii="Garamond" w:hAnsi="Garamond"/>
          <w:b/>
          <w:lang w:eastAsia="pl-PL"/>
        </w:rPr>
      </w:pPr>
      <w:r w:rsidRPr="002F6709">
        <w:rPr>
          <w:rFonts w:ascii="Garamond" w:hAnsi="Garamond"/>
          <w:b/>
          <w:lang w:eastAsia="pl-PL"/>
        </w:rPr>
        <w:t>Pytanie 6</w:t>
      </w:r>
    </w:p>
    <w:p w14:paraId="20575546" w14:textId="214BAA01" w:rsidR="00794178" w:rsidRPr="002F6709" w:rsidRDefault="00794178" w:rsidP="00794178">
      <w:pPr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>w zakresie części 1:</w:t>
      </w:r>
    </w:p>
    <w:p w14:paraId="3E460FE6" w14:textId="37DABF73" w:rsidR="00794178" w:rsidRPr="002F6709" w:rsidRDefault="00794178" w:rsidP="00794178">
      <w:pPr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 xml:space="preserve">Czy Zamawiający wyrazi zgodę na zaoferowanie zestawów, w których na każdym pasku zamiast kontroli </w:t>
      </w:r>
      <w:proofErr w:type="spellStart"/>
      <w:r w:rsidRPr="002F6709">
        <w:rPr>
          <w:rFonts w:ascii="Garamond" w:hAnsi="Garamond"/>
          <w:lang w:eastAsia="pl-PL"/>
        </w:rPr>
        <w:t>cut</w:t>
      </w:r>
      <w:proofErr w:type="spellEnd"/>
      <w:r w:rsidRPr="002F6709">
        <w:rPr>
          <w:rFonts w:ascii="Garamond" w:hAnsi="Garamond"/>
          <w:lang w:eastAsia="pl-PL"/>
        </w:rPr>
        <w:t xml:space="preserve"> off znajduje się linia kontrolna wskazująca na poprawność przeprowadzonej inkubacji oraz pasma kontrolne dla </w:t>
      </w:r>
      <w:proofErr w:type="spellStart"/>
      <w:r w:rsidRPr="002F6709">
        <w:rPr>
          <w:rFonts w:ascii="Garamond" w:hAnsi="Garamond"/>
          <w:lang w:eastAsia="pl-PL"/>
        </w:rPr>
        <w:t>IgG</w:t>
      </w:r>
      <w:proofErr w:type="spellEnd"/>
      <w:r w:rsidRPr="002F6709">
        <w:rPr>
          <w:rFonts w:ascii="Garamond" w:hAnsi="Garamond"/>
          <w:lang w:eastAsia="pl-PL"/>
        </w:rPr>
        <w:t xml:space="preserve"> i </w:t>
      </w:r>
      <w:proofErr w:type="spellStart"/>
      <w:r w:rsidRPr="002F6709">
        <w:rPr>
          <w:rFonts w:ascii="Garamond" w:hAnsi="Garamond"/>
          <w:lang w:eastAsia="pl-PL"/>
        </w:rPr>
        <w:t>IgM</w:t>
      </w:r>
      <w:proofErr w:type="spellEnd"/>
      <w:r w:rsidRPr="002F6709">
        <w:rPr>
          <w:rFonts w:ascii="Garamond" w:hAnsi="Garamond"/>
          <w:lang w:eastAsia="pl-PL"/>
        </w:rPr>
        <w:t xml:space="preserve">? </w:t>
      </w:r>
    </w:p>
    <w:p w14:paraId="2704780F" w14:textId="57A4A204" w:rsidR="00794178" w:rsidRPr="002F6709" w:rsidRDefault="00794178" w:rsidP="00794178">
      <w:pPr>
        <w:jc w:val="both"/>
        <w:rPr>
          <w:rFonts w:ascii="Garamond" w:hAnsi="Garamond"/>
          <w:b/>
        </w:rPr>
      </w:pPr>
      <w:r w:rsidRPr="002F6709">
        <w:rPr>
          <w:rFonts w:ascii="Garamond" w:hAnsi="Garamond"/>
          <w:b/>
        </w:rPr>
        <w:lastRenderedPageBreak/>
        <w:t>Odpowiedź:</w:t>
      </w:r>
      <w:r w:rsidR="000236B8" w:rsidRPr="002F6709">
        <w:rPr>
          <w:rFonts w:ascii="Garamond" w:hAnsi="Garamond"/>
          <w:b/>
        </w:rPr>
        <w:t xml:space="preserve"> Wskazany przez Wykonawcę pasek kontroli prawidłowości </w:t>
      </w:r>
      <w:r w:rsidR="00421E70" w:rsidRPr="002F6709">
        <w:rPr>
          <w:rFonts w:ascii="Garamond" w:hAnsi="Garamond"/>
          <w:b/>
        </w:rPr>
        <w:t>inkubacji</w:t>
      </w:r>
      <w:r w:rsidR="000236B8" w:rsidRPr="002F6709">
        <w:rPr>
          <w:rFonts w:ascii="Garamond" w:hAnsi="Garamond"/>
          <w:b/>
        </w:rPr>
        <w:t xml:space="preserve"> nie zastępuje opisanego w warunkach granicznych „…prążka wyznaczającego wartość </w:t>
      </w:r>
      <w:proofErr w:type="spellStart"/>
      <w:r w:rsidR="000236B8" w:rsidRPr="002F6709">
        <w:rPr>
          <w:rFonts w:ascii="Garamond" w:hAnsi="Garamond"/>
          <w:b/>
        </w:rPr>
        <w:t>cut</w:t>
      </w:r>
      <w:proofErr w:type="spellEnd"/>
      <w:r w:rsidR="000236B8" w:rsidRPr="002F6709">
        <w:rPr>
          <w:rFonts w:ascii="Garamond" w:hAnsi="Garamond"/>
          <w:b/>
        </w:rPr>
        <w:t>-off dla prążków testowych (pozwalającego na rozróżnianie p</w:t>
      </w:r>
      <w:r w:rsidR="00C14CB2" w:rsidRPr="002F6709">
        <w:rPr>
          <w:rFonts w:ascii="Garamond" w:hAnsi="Garamond"/>
          <w:b/>
        </w:rPr>
        <w:t xml:space="preserve">rążków dodatnich i ujemnych).” </w:t>
      </w:r>
      <w:r w:rsidR="000236B8" w:rsidRPr="002F6709">
        <w:rPr>
          <w:rFonts w:ascii="Garamond" w:hAnsi="Garamond"/>
          <w:b/>
        </w:rPr>
        <w:t xml:space="preserve">Zadaniem prążka wyznaczającego </w:t>
      </w:r>
      <w:proofErr w:type="spellStart"/>
      <w:r w:rsidR="000236B8" w:rsidRPr="002F6709">
        <w:rPr>
          <w:rFonts w:ascii="Garamond" w:hAnsi="Garamond"/>
          <w:b/>
        </w:rPr>
        <w:t>cut</w:t>
      </w:r>
      <w:proofErr w:type="spellEnd"/>
      <w:r w:rsidR="000236B8" w:rsidRPr="002F6709">
        <w:rPr>
          <w:rFonts w:ascii="Garamond" w:hAnsi="Garamond"/>
          <w:b/>
        </w:rPr>
        <w:t>-off jest możliwość wzrokowej interpretacji wyniku oznaczenia w przypadku</w:t>
      </w:r>
      <w:r w:rsidR="00421E70" w:rsidRPr="002F6709">
        <w:rPr>
          <w:rFonts w:ascii="Garamond" w:hAnsi="Garamond"/>
          <w:b/>
        </w:rPr>
        <w:t xml:space="preserve"> manualnie wykonanej procedury oznaczenia (np. na wypadek awarii analizatora), lub konieczności wzrokowej oceny prawidłowości automatycznej interpretacji wyniku badania dokonanej przez analizator. Warunek zawarty w opisie pozostaje bez zmian. </w:t>
      </w:r>
    </w:p>
    <w:p w14:paraId="717E8D9F" w14:textId="77777777" w:rsidR="00794178" w:rsidRPr="002F6709" w:rsidRDefault="00794178" w:rsidP="00794178">
      <w:pPr>
        <w:jc w:val="both"/>
        <w:rPr>
          <w:rFonts w:ascii="Garamond" w:hAnsi="Garamond"/>
          <w:b/>
        </w:rPr>
      </w:pPr>
    </w:p>
    <w:p w14:paraId="1530684F" w14:textId="2BFA21EF" w:rsidR="00794178" w:rsidRPr="002F6709" w:rsidRDefault="00794178" w:rsidP="00016E52">
      <w:pPr>
        <w:keepNext/>
        <w:jc w:val="both"/>
        <w:rPr>
          <w:rFonts w:ascii="Garamond" w:hAnsi="Garamond"/>
          <w:b/>
        </w:rPr>
      </w:pPr>
      <w:r w:rsidRPr="002F6709">
        <w:rPr>
          <w:rFonts w:ascii="Garamond" w:hAnsi="Garamond"/>
          <w:b/>
        </w:rPr>
        <w:t>Pytanie 7</w:t>
      </w:r>
    </w:p>
    <w:p w14:paraId="22BE8A6A" w14:textId="50ED0585" w:rsidR="00794178" w:rsidRPr="002F6709" w:rsidRDefault="00794178" w:rsidP="00B1076A">
      <w:pPr>
        <w:keepNext/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>w zakresie części 1:</w:t>
      </w:r>
    </w:p>
    <w:p w14:paraId="20DCC6F2" w14:textId="6791C66A" w:rsidR="00794178" w:rsidRPr="002F6709" w:rsidRDefault="00794178" w:rsidP="00794178">
      <w:pPr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 xml:space="preserve">Czy Zamawiający dopuści obsługę serwisową systemu integracji w trybie poniedziałek-piątek od 08.00 do 16.00 ? </w:t>
      </w:r>
    </w:p>
    <w:p w14:paraId="4E4268E9" w14:textId="22A27523" w:rsidR="000236B8" w:rsidRPr="002F6709" w:rsidRDefault="00794178" w:rsidP="00794178">
      <w:pPr>
        <w:jc w:val="both"/>
        <w:rPr>
          <w:rFonts w:ascii="Garamond" w:hAnsi="Garamond"/>
          <w:b/>
        </w:rPr>
      </w:pPr>
      <w:r w:rsidRPr="002F6709">
        <w:rPr>
          <w:rFonts w:ascii="Garamond" w:hAnsi="Garamond"/>
          <w:b/>
        </w:rPr>
        <w:t xml:space="preserve">Odpowiedź: </w:t>
      </w:r>
      <w:r w:rsidR="00D136B2" w:rsidRPr="002F6709">
        <w:rPr>
          <w:rFonts w:ascii="Garamond" w:hAnsi="Garamond"/>
          <w:b/>
        </w:rPr>
        <w:t xml:space="preserve">Zamawiający dopuszcza obsługę serwisową systemu integracji w trybie poniedziałek-piątek od 08.00 do 16.00. </w:t>
      </w:r>
      <w:r w:rsidR="001849A7" w:rsidRPr="002F6709">
        <w:rPr>
          <w:rFonts w:ascii="Garamond" w:hAnsi="Garamond"/>
          <w:b/>
        </w:rPr>
        <w:t xml:space="preserve">Zmianie ulega pkt 6 dla części 1 wymagań </w:t>
      </w:r>
      <w:r w:rsidR="000E79B0" w:rsidRPr="002F6709">
        <w:rPr>
          <w:rFonts w:ascii="Garamond" w:hAnsi="Garamond"/>
          <w:b/>
        </w:rPr>
        <w:t xml:space="preserve">granicznych </w:t>
      </w:r>
      <w:r w:rsidR="001849A7" w:rsidRPr="002F6709">
        <w:rPr>
          <w:rFonts w:ascii="Garamond" w:hAnsi="Garamond"/>
          <w:b/>
        </w:rPr>
        <w:t xml:space="preserve">w zakresie zagadnień informatycznych </w:t>
      </w:r>
      <w:r w:rsidR="002D0291" w:rsidRPr="002F6709">
        <w:rPr>
          <w:rFonts w:ascii="Garamond" w:hAnsi="Garamond"/>
          <w:b/>
        </w:rPr>
        <w:t>załącznik</w:t>
      </w:r>
      <w:r w:rsidR="001849A7" w:rsidRPr="002F6709">
        <w:rPr>
          <w:rFonts w:ascii="Garamond" w:hAnsi="Garamond"/>
          <w:b/>
        </w:rPr>
        <w:t xml:space="preserve"> nr 1b do SWZ. </w:t>
      </w:r>
      <w:r w:rsidR="00DD39AB" w:rsidRPr="002F6709">
        <w:rPr>
          <w:rFonts w:ascii="Garamond" w:hAnsi="Garamond"/>
          <w:b/>
        </w:rPr>
        <w:t>Zmianie ulega §3b ust 5 który przyjmuje następujące brzmienie:</w:t>
      </w:r>
    </w:p>
    <w:p w14:paraId="4D747537" w14:textId="00310ABD" w:rsidR="00DD39AB" w:rsidRPr="002F6709" w:rsidRDefault="00DD39AB" w:rsidP="00DD39AB">
      <w:pPr>
        <w:jc w:val="center"/>
        <w:rPr>
          <w:rFonts w:ascii="Garamond" w:hAnsi="Garamond"/>
          <w:b/>
          <w:i/>
        </w:rPr>
      </w:pPr>
      <w:r w:rsidRPr="002F6709">
        <w:rPr>
          <w:rFonts w:ascii="Garamond" w:hAnsi="Garamond"/>
          <w:b/>
          <w:i/>
        </w:rPr>
        <w:t>„§3b</w:t>
      </w:r>
    </w:p>
    <w:p w14:paraId="038C9057" w14:textId="77777777" w:rsidR="00DD39AB" w:rsidRPr="002F6709" w:rsidRDefault="00DD39AB" w:rsidP="00DD39AB">
      <w:pPr>
        <w:pStyle w:val="Tytu"/>
        <w:ind w:left="357" w:hanging="357"/>
        <w:jc w:val="both"/>
        <w:rPr>
          <w:rFonts w:ascii="Garamond" w:hAnsi="Garamond"/>
          <w:sz w:val="22"/>
          <w:szCs w:val="22"/>
        </w:rPr>
      </w:pPr>
      <w:r w:rsidRPr="002F6709">
        <w:rPr>
          <w:rFonts w:ascii="Garamond" w:hAnsi="Garamond"/>
          <w:b w:val="0"/>
          <w:i/>
          <w:sz w:val="22"/>
          <w:szCs w:val="22"/>
        </w:rPr>
        <w:t xml:space="preserve">5. </w:t>
      </w:r>
      <w:r w:rsidRPr="002F6709">
        <w:rPr>
          <w:rFonts w:ascii="Garamond" w:hAnsi="Garamond"/>
          <w:b w:val="0"/>
          <w:sz w:val="22"/>
          <w:szCs w:val="22"/>
        </w:rPr>
        <w:t>Wykonawca zobowiązuje się do świadczenia usługi obsługi serwisowej systemu  integracji</w:t>
      </w:r>
      <w:r w:rsidRPr="002F6709">
        <w:rPr>
          <w:rFonts w:ascii="Garamond" w:hAnsi="Garamond"/>
          <w:b w:val="0"/>
          <w:sz w:val="22"/>
          <w:szCs w:val="22"/>
        </w:rPr>
        <w:br/>
        <w:t>od poniedziałku do piątku w godzinach od 8:00 do 16:00, na zasadach określonych w załączniku nr 2 do Umowy, w szczególności:</w:t>
      </w:r>
    </w:p>
    <w:p w14:paraId="428A1DB7" w14:textId="77777777" w:rsidR="00DD39AB" w:rsidRPr="002F6709" w:rsidRDefault="00DD39AB" w:rsidP="00DD39AB">
      <w:pPr>
        <w:pStyle w:val="Tytu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Garamond" w:hAnsi="Garamond"/>
          <w:sz w:val="22"/>
          <w:szCs w:val="22"/>
        </w:rPr>
      </w:pPr>
      <w:r w:rsidRPr="002F6709">
        <w:rPr>
          <w:rFonts w:ascii="Garamond" w:hAnsi="Garamond"/>
          <w:b w:val="0"/>
          <w:sz w:val="22"/>
          <w:szCs w:val="22"/>
        </w:rPr>
        <w:t xml:space="preserve">W przypadku wystąpienia błędu krytycznego – usunięcia błędu do </w:t>
      </w:r>
      <w:r w:rsidRPr="002F6709">
        <w:rPr>
          <w:rFonts w:ascii="Garamond" w:hAnsi="Garamond"/>
          <w:sz w:val="22"/>
          <w:szCs w:val="22"/>
        </w:rPr>
        <w:t>4 godzin</w:t>
      </w:r>
      <w:r w:rsidRPr="002F6709">
        <w:rPr>
          <w:rFonts w:ascii="Garamond" w:hAnsi="Garamond"/>
          <w:b w:val="0"/>
          <w:sz w:val="22"/>
          <w:szCs w:val="22"/>
        </w:rPr>
        <w:t xml:space="preserve">, przy czym czas reakcji nie może przekroczyć </w:t>
      </w:r>
      <w:r w:rsidRPr="002F6709">
        <w:rPr>
          <w:rFonts w:ascii="Garamond" w:hAnsi="Garamond"/>
          <w:sz w:val="22"/>
          <w:szCs w:val="22"/>
        </w:rPr>
        <w:t>1 godziny</w:t>
      </w:r>
      <w:r w:rsidRPr="002F6709">
        <w:rPr>
          <w:rFonts w:ascii="Garamond" w:hAnsi="Garamond"/>
          <w:b w:val="0"/>
          <w:sz w:val="22"/>
          <w:szCs w:val="22"/>
        </w:rPr>
        <w:t>.</w:t>
      </w:r>
    </w:p>
    <w:p w14:paraId="47A2D397" w14:textId="77777777" w:rsidR="00DD39AB" w:rsidRPr="002F6709" w:rsidRDefault="00DD39AB" w:rsidP="00DD39AB">
      <w:pPr>
        <w:pStyle w:val="Tytu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Garamond" w:hAnsi="Garamond"/>
          <w:sz w:val="22"/>
          <w:szCs w:val="22"/>
        </w:rPr>
      </w:pPr>
      <w:r w:rsidRPr="002F6709">
        <w:rPr>
          <w:rFonts w:ascii="Garamond" w:hAnsi="Garamond"/>
          <w:b w:val="0"/>
          <w:sz w:val="22"/>
          <w:szCs w:val="22"/>
        </w:rPr>
        <w:t xml:space="preserve">W przypadku wystąpienia błędu pilnego – usunięcia błędu do </w:t>
      </w:r>
      <w:r w:rsidRPr="002F6709">
        <w:rPr>
          <w:rFonts w:ascii="Garamond" w:hAnsi="Garamond"/>
          <w:sz w:val="22"/>
          <w:szCs w:val="22"/>
        </w:rPr>
        <w:t>48 godzin</w:t>
      </w:r>
      <w:r w:rsidRPr="002F6709">
        <w:rPr>
          <w:rFonts w:ascii="Garamond" w:hAnsi="Garamond"/>
          <w:b w:val="0"/>
          <w:sz w:val="22"/>
          <w:szCs w:val="22"/>
        </w:rPr>
        <w:t xml:space="preserve">, przy czym czas reakcji nie może przekroczyć </w:t>
      </w:r>
      <w:r w:rsidRPr="002F6709">
        <w:rPr>
          <w:rFonts w:ascii="Garamond" w:hAnsi="Garamond"/>
          <w:sz w:val="22"/>
          <w:szCs w:val="22"/>
        </w:rPr>
        <w:t>12 godzin</w:t>
      </w:r>
      <w:r w:rsidRPr="002F6709">
        <w:rPr>
          <w:rFonts w:ascii="Garamond" w:hAnsi="Garamond"/>
          <w:b w:val="0"/>
          <w:sz w:val="22"/>
          <w:szCs w:val="22"/>
        </w:rPr>
        <w:t>.</w:t>
      </w:r>
    </w:p>
    <w:p w14:paraId="7475B1F3" w14:textId="17FFD894" w:rsidR="00DD39AB" w:rsidRPr="00036695" w:rsidRDefault="00DD39AB" w:rsidP="00DD39AB">
      <w:pPr>
        <w:pStyle w:val="Tytu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Garamond" w:hAnsi="Garamond"/>
          <w:sz w:val="22"/>
          <w:szCs w:val="22"/>
        </w:rPr>
      </w:pPr>
      <w:r w:rsidRPr="002F6709">
        <w:rPr>
          <w:rFonts w:ascii="Garamond" w:hAnsi="Garamond"/>
          <w:b w:val="0"/>
          <w:sz w:val="22"/>
          <w:szCs w:val="22"/>
        </w:rPr>
        <w:t xml:space="preserve">W przypadku wystąpienia błędu zwykłego – usunięcia błędu do </w:t>
      </w:r>
      <w:r w:rsidRPr="002F6709">
        <w:rPr>
          <w:rFonts w:ascii="Garamond" w:hAnsi="Garamond"/>
          <w:sz w:val="22"/>
          <w:szCs w:val="22"/>
        </w:rPr>
        <w:t>14 dni</w:t>
      </w:r>
      <w:r w:rsidRPr="002F6709">
        <w:rPr>
          <w:rFonts w:ascii="Garamond" w:hAnsi="Garamond"/>
          <w:b w:val="0"/>
          <w:sz w:val="22"/>
          <w:szCs w:val="22"/>
        </w:rPr>
        <w:t xml:space="preserve">, przy czym czas reakcji nie może przekroczyć </w:t>
      </w:r>
      <w:r w:rsidRPr="002F6709">
        <w:rPr>
          <w:rFonts w:ascii="Garamond" w:hAnsi="Garamond"/>
          <w:sz w:val="22"/>
          <w:szCs w:val="22"/>
        </w:rPr>
        <w:t>72 godzin</w:t>
      </w:r>
      <w:r w:rsidRPr="002F6709">
        <w:rPr>
          <w:rFonts w:ascii="Garamond" w:hAnsi="Garamond"/>
          <w:b w:val="0"/>
          <w:sz w:val="22"/>
          <w:szCs w:val="22"/>
        </w:rPr>
        <w:t>.”</w:t>
      </w:r>
    </w:p>
    <w:p w14:paraId="2C98A787" w14:textId="77777777" w:rsidR="00794178" w:rsidRPr="002F6709" w:rsidRDefault="00794178" w:rsidP="00794178">
      <w:pPr>
        <w:jc w:val="both"/>
        <w:rPr>
          <w:rFonts w:ascii="Garamond" w:hAnsi="Garamond"/>
          <w:b/>
        </w:rPr>
      </w:pPr>
    </w:p>
    <w:p w14:paraId="5B54CD23" w14:textId="06131376" w:rsidR="00794178" w:rsidRPr="002F6709" w:rsidRDefault="00794178" w:rsidP="00794178">
      <w:pPr>
        <w:jc w:val="both"/>
        <w:rPr>
          <w:rFonts w:ascii="Garamond" w:hAnsi="Garamond"/>
          <w:b/>
        </w:rPr>
      </w:pPr>
      <w:r w:rsidRPr="002F6709">
        <w:rPr>
          <w:rFonts w:ascii="Garamond" w:hAnsi="Garamond"/>
          <w:b/>
        </w:rPr>
        <w:t>Pytanie 8</w:t>
      </w:r>
    </w:p>
    <w:p w14:paraId="1284F485" w14:textId="129A9E81" w:rsidR="00794178" w:rsidRPr="002F6709" w:rsidRDefault="00794178" w:rsidP="00794178">
      <w:pPr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>w zakresie części 1:</w:t>
      </w:r>
    </w:p>
    <w:p w14:paraId="50C8E3F7" w14:textId="37D66A05" w:rsidR="00794178" w:rsidRPr="002F6709" w:rsidRDefault="00794178" w:rsidP="00794178">
      <w:pPr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 xml:space="preserve">Czy Zamawiający wyrazi zgodę na obsługę analizatora za pomocą komputera nie zintegrowanego z analizatorem, bez ekranu dotykowego? </w:t>
      </w:r>
    </w:p>
    <w:p w14:paraId="4BB19716" w14:textId="47FAADC7" w:rsidR="00421E70" w:rsidRPr="002F6709" w:rsidRDefault="00794178" w:rsidP="00794178">
      <w:pPr>
        <w:jc w:val="both"/>
        <w:rPr>
          <w:rFonts w:ascii="Garamond" w:hAnsi="Garamond"/>
          <w:b/>
        </w:rPr>
      </w:pPr>
      <w:r w:rsidRPr="002F6709">
        <w:rPr>
          <w:rFonts w:ascii="Garamond" w:hAnsi="Garamond"/>
          <w:b/>
        </w:rPr>
        <w:t xml:space="preserve">Odpowiedź: </w:t>
      </w:r>
      <w:r w:rsidR="004E1B27" w:rsidRPr="002F6709">
        <w:rPr>
          <w:rFonts w:ascii="Garamond" w:hAnsi="Garamond"/>
          <w:b/>
        </w:rPr>
        <w:t xml:space="preserve">Ze względu na ograniczoną dostępność przestrzeni roboczej </w:t>
      </w:r>
      <w:r w:rsidR="00421E70" w:rsidRPr="002F6709">
        <w:rPr>
          <w:rFonts w:ascii="Garamond" w:hAnsi="Garamond"/>
          <w:b/>
        </w:rPr>
        <w:t xml:space="preserve">instalacja analizatora </w:t>
      </w:r>
      <w:r w:rsidR="004E1B27" w:rsidRPr="002F6709">
        <w:rPr>
          <w:rFonts w:ascii="Garamond" w:hAnsi="Garamond"/>
          <w:b/>
        </w:rPr>
        <w:t>musi</w:t>
      </w:r>
      <w:r w:rsidR="00C14CB2" w:rsidRPr="002F6709">
        <w:rPr>
          <w:rFonts w:ascii="Garamond" w:hAnsi="Garamond"/>
          <w:b/>
        </w:rPr>
        <w:t xml:space="preserve"> zostać dokonana</w:t>
      </w:r>
      <w:r w:rsidR="004E1B27" w:rsidRPr="002F6709">
        <w:rPr>
          <w:rFonts w:ascii="Garamond" w:hAnsi="Garamond"/>
          <w:b/>
        </w:rPr>
        <w:t xml:space="preserve"> na </w:t>
      </w:r>
      <w:r w:rsidR="00421E70" w:rsidRPr="002F6709">
        <w:rPr>
          <w:rFonts w:ascii="Garamond" w:hAnsi="Garamond"/>
          <w:b/>
        </w:rPr>
        <w:t xml:space="preserve">określonej </w:t>
      </w:r>
      <w:r w:rsidR="004E1B27" w:rsidRPr="002F6709">
        <w:rPr>
          <w:rFonts w:ascii="Garamond" w:hAnsi="Garamond"/>
          <w:b/>
        </w:rPr>
        <w:t xml:space="preserve">powierzchni (o wymiarach 110 cm × 80 cm). Metodyka </w:t>
      </w:r>
      <w:proofErr w:type="spellStart"/>
      <w:r w:rsidR="004E1B27" w:rsidRPr="002F6709">
        <w:rPr>
          <w:rFonts w:ascii="Garamond" w:hAnsi="Garamond"/>
          <w:b/>
        </w:rPr>
        <w:t>immunoblottingu</w:t>
      </w:r>
      <w:proofErr w:type="spellEnd"/>
      <w:r w:rsidR="004E1B27" w:rsidRPr="002F6709">
        <w:rPr>
          <w:rFonts w:ascii="Garamond" w:hAnsi="Garamond"/>
          <w:b/>
        </w:rPr>
        <w:t xml:space="preserve"> zakłada wykorzystywanie płynnych odczynników i buforów płuczących, mogących w przypadku awarii lub błędu ludzkiego wydostawać się na blat roboczy. Ze względów bezpieczeństwa Zamawiający nie dopuszcza instalacji odrębnego komputera na tej powierzchni roboczej, dopuszczając dotykowy monitor </w:t>
      </w:r>
      <w:r w:rsidR="00526CB5" w:rsidRPr="002F6709">
        <w:rPr>
          <w:rFonts w:ascii="Garamond" w:hAnsi="Garamond"/>
          <w:b/>
        </w:rPr>
        <w:t xml:space="preserve">dedykowany </w:t>
      </w:r>
      <w:r w:rsidR="004E1B27" w:rsidRPr="002F6709">
        <w:rPr>
          <w:rFonts w:ascii="Garamond" w:hAnsi="Garamond"/>
          <w:b/>
        </w:rPr>
        <w:t xml:space="preserve">przez producenta analizatora jako bezpieczny dla obsługi aparatu. </w:t>
      </w:r>
    </w:p>
    <w:p w14:paraId="59C039CE" w14:textId="77777777" w:rsidR="00794178" w:rsidRPr="002F6709" w:rsidRDefault="00794178" w:rsidP="00794178">
      <w:pPr>
        <w:jc w:val="both"/>
        <w:rPr>
          <w:rFonts w:ascii="Garamond" w:hAnsi="Garamond"/>
          <w:b/>
        </w:rPr>
      </w:pPr>
    </w:p>
    <w:p w14:paraId="675D61C9" w14:textId="7BEA8695" w:rsidR="00794178" w:rsidRPr="002F6709" w:rsidRDefault="00794178" w:rsidP="00794178">
      <w:pPr>
        <w:jc w:val="both"/>
        <w:rPr>
          <w:rFonts w:ascii="Garamond" w:hAnsi="Garamond"/>
          <w:b/>
        </w:rPr>
      </w:pPr>
      <w:r w:rsidRPr="002F6709">
        <w:rPr>
          <w:rFonts w:ascii="Garamond" w:hAnsi="Garamond"/>
          <w:b/>
        </w:rPr>
        <w:t>Pytanie 9</w:t>
      </w:r>
    </w:p>
    <w:p w14:paraId="56875C8D" w14:textId="10892C66" w:rsidR="00794178" w:rsidRPr="002F6709" w:rsidRDefault="00794178" w:rsidP="00794178">
      <w:pPr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>w zakresie części 1:</w:t>
      </w:r>
    </w:p>
    <w:p w14:paraId="45DE6175" w14:textId="3A19A0D0" w:rsidR="00794178" w:rsidRPr="002F6709" w:rsidRDefault="00794178" w:rsidP="00794178">
      <w:pPr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 xml:space="preserve">Co Zamawiający rozumie pod pojęciem „paski uniwersalne” w przypadku opisu w zał. 1b dla części 1, pkt. 11? </w:t>
      </w:r>
    </w:p>
    <w:p w14:paraId="0D53FA4E" w14:textId="07BC4678" w:rsidR="0053452B" w:rsidRPr="002F6709" w:rsidRDefault="00794178" w:rsidP="00B74873">
      <w:pPr>
        <w:jc w:val="both"/>
        <w:rPr>
          <w:rFonts w:ascii="Garamond" w:hAnsi="Garamond"/>
          <w:b/>
        </w:rPr>
      </w:pPr>
      <w:r w:rsidRPr="002F6709">
        <w:rPr>
          <w:rFonts w:ascii="Garamond" w:hAnsi="Garamond"/>
          <w:b/>
        </w:rPr>
        <w:t xml:space="preserve">Odpowiedź: </w:t>
      </w:r>
      <w:r w:rsidR="0053452B" w:rsidRPr="002F6709">
        <w:rPr>
          <w:rFonts w:ascii="Garamond" w:hAnsi="Garamond"/>
          <w:b/>
        </w:rPr>
        <w:t xml:space="preserve">Określenie „paski uniwersalne </w:t>
      </w:r>
      <w:proofErr w:type="spellStart"/>
      <w:r w:rsidR="0053452B" w:rsidRPr="002F6709">
        <w:rPr>
          <w:rFonts w:ascii="Garamond" w:hAnsi="Garamond"/>
          <w:b/>
        </w:rPr>
        <w:t>IgG</w:t>
      </w:r>
      <w:proofErr w:type="spellEnd"/>
      <w:r w:rsidR="0053452B" w:rsidRPr="002F6709">
        <w:rPr>
          <w:rFonts w:ascii="Garamond" w:hAnsi="Garamond"/>
          <w:b/>
        </w:rPr>
        <w:t>/</w:t>
      </w:r>
      <w:proofErr w:type="spellStart"/>
      <w:r w:rsidR="0053452B" w:rsidRPr="002F6709">
        <w:rPr>
          <w:rFonts w:ascii="Garamond" w:hAnsi="Garamond"/>
          <w:b/>
        </w:rPr>
        <w:t>IgM</w:t>
      </w:r>
      <w:proofErr w:type="spellEnd"/>
      <w:r w:rsidR="0053452B" w:rsidRPr="002F6709">
        <w:rPr>
          <w:rFonts w:ascii="Garamond" w:hAnsi="Garamond"/>
          <w:b/>
        </w:rPr>
        <w:t>” dotyczy sytuacji</w:t>
      </w:r>
      <w:r w:rsidR="00C14CB2" w:rsidRPr="002F6709">
        <w:rPr>
          <w:rFonts w:ascii="Garamond" w:hAnsi="Garamond"/>
          <w:b/>
        </w:rPr>
        <w:t>,</w:t>
      </w:r>
      <w:r w:rsidR="0053452B" w:rsidRPr="002F6709">
        <w:rPr>
          <w:rFonts w:ascii="Garamond" w:hAnsi="Garamond"/>
          <w:b/>
        </w:rPr>
        <w:t xml:space="preserve"> w której oferowane paski testowe mogą być wykorzystywane wymiennie dla obydwu klas przeciwciał. W takiej sytuacji wymagane jest wskazanie odrębnym prążkiem (</w:t>
      </w:r>
      <w:proofErr w:type="spellStart"/>
      <w:r w:rsidR="0053452B" w:rsidRPr="002F6709">
        <w:rPr>
          <w:rFonts w:ascii="Garamond" w:hAnsi="Garamond"/>
          <w:b/>
        </w:rPr>
        <w:t>IgM</w:t>
      </w:r>
      <w:proofErr w:type="spellEnd"/>
      <w:r w:rsidR="0053452B" w:rsidRPr="002F6709">
        <w:rPr>
          <w:rFonts w:ascii="Garamond" w:hAnsi="Garamond"/>
          <w:b/>
        </w:rPr>
        <w:t xml:space="preserve"> lub </w:t>
      </w:r>
      <w:proofErr w:type="spellStart"/>
      <w:r w:rsidR="0053452B" w:rsidRPr="002F6709">
        <w:rPr>
          <w:rFonts w:ascii="Garamond" w:hAnsi="Garamond"/>
          <w:b/>
        </w:rPr>
        <w:t>IgG</w:t>
      </w:r>
      <w:proofErr w:type="spellEnd"/>
      <w:r w:rsidR="0053452B" w:rsidRPr="002F6709">
        <w:rPr>
          <w:rFonts w:ascii="Garamond" w:hAnsi="Garamond"/>
          <w:b/>
        </w:rPr>
        <w:t xml:space="preserve">) rodzaju </w:t>
      </w:r>
      <w:r w:rsidR="0064500E" w:rsidRPr="002F6709">
        <w:rPr>
          <w:rFonts w:ascii="Garamond" w:hAnsi="Garamond"/>
          <w:b/>
        </w:rPr>
        <w:t xml:space="preserve">identyfikowanej </w:t>
      </w:r>
      <w:r w:rsidR="00C14CB2" w:rsidRPr="002F6709">
        <w:rPr>
          <w:rFonts w:ascii="Garamond" w:hAnsi="Garamond"/>
          <w:b/>
        </w:rPr>
        <w:t>w </w:t>
      </w:r>
      <w:r w:rsidR="0053452B" w:rsidRPr="002F6709">
        <w:rPr>
          <w:rFonts w:ascii="Garamond" w:hAnsi="Garamond"/>
          <w:b/>
        </w:rPr>
        <w:t xml:space="preserve">konkretnym badaniu klasy przeciwciał. </w:t>
      </w:r>
      <w:r w:rsidR="00C750CB" w:rsidRPr="002F6709">
        <w:rPr>
          <w:rFonts w:ascii="Garamond" w:hAnsi="Garamond"/>
          <w:b/>
        </w:rPr>
        <w:t>W</w:t>
      </w:r>
      <w:r w:rsidR="00C14CB2" w:rsidRPr="002F6709">
        <w:rPr>
          <w:rFonts w:ascii="Garamond" w:hAnsi="Garamond"/>
          <w:b/>
        </w:rPr>
        <w:t xml:space="preserve">arunek ten nie dotyczy sytuacji, </w:t>
      </w:r>
      <w:r w:rsidR="00C750CB" w:rsidRPr="002F6709">
        <w:rPr>
          <w:rFonts w:ascii="Garamond" w:hAnsi="Garamond"/>
          <w:b/>
        </w:rPr>
        <w:t xml:space="preserve">w której </w:t>
      </w:r>
      <w:r w:rsidR="0053452B" w:rsidRPr="002F6709">
        <w:rPr>
          <w:rFonts w:ascii="Garamond" w:hAnsi="Garamond"/>
          <w:b/>
        </w:rPr>
        <w:t>oferowane paski testowe są odrębne dla</w:t>
      </w:r>
      <w:r w:rsidR="00C750CB" w:rsidRPr="002F6709">
        <w:rPr>
          <w:rFonts w:ascii="Garamond" w:hAnsi="Garamond"/>
          <w:b/>
        </w:rPr>
        <w:t xml:space="preserve"> poszczególnych klas i mają fabrycznie naniesione oznaczenie klasy przeciwciał.</w:t>
      </w:r>
      <w:r w:rsidR="00A9167C" w:rsidRPr="002F6709">
        <w:rPr>
          <w:rFonts w:ascii="Garamond" w:hAnsi="Garamond"/>
          <w:b/>
        </w:rPr>
        <w:t xml:space="preserve"> Zamawiający doprecyzowuje określenie w pkt. 11 wymagań granicznych  </w:t>
      </w:r>
      <w:r w:rsidR="00B74873" w:rsidRPr="002F6709">
        <w:rPr>
          <w:rFonts w:ascii="Garamond" w:hAnsi="Garamond"/>
          <w:b/>
        </w:rPr>
        <w:t xml:space="preserve">dla części 1 </w:t>
      </w:r>
      <w:r w:rsidR="002D0291" w:rsidRPr="002F6709">
        <w:rPr>
          <w:rFonts w:ascii="Garamond" w:hAnsi="Garamond"/>
          <w:b/>
        </w:rPr>
        <w:t>załącznik</w:t>
      </w:r>
      <w:r w:rsidR="00B74873" w:rsidRPr="002F6709">
        <w:rPr>
          <w:rFonts w:ascii="Garamond" w:hAnsi="Garamond"/>
          <w:b/>
        </w:rPr>
        <w:t xml:space="preserve"> nr 1b do SWZ.</w:t>
      </w:r>
    </w:p>
    <w:p w14:paraId="5041A606" w14:textId="77777777" w:rsidR="00794178" w:rsidRPr="002F6709" w:rsidRDefault="00794178" w:rsidP="00794178">
      <w:pPr>
        <w:jc w:val="both"/>
        <w:rPr>
          <w:rFonts w:ascii="Garamond" w:hAnsi="Garamond"/>
          <w:b/>
        </w:rPr>
      </w:pPr>
    </w:p>
    <w:p w14:paraId="315C05A6" w14:textId="5B268B37" w:rsidR="00794178" w:rsidRPr="002F6709" w:rsidRDefault="00794178" w:rsidP="00794178">
      <w:pPr>
        <w:jc w:val="both"/>
        <w:rPr>
          <w:rFonts w:ascii="Garamond" w:hAnsi="Garamond"/>
          <w:b/>
        </w:rPr>
      </w:pPr>
      <w:r w:rsidRPr="002F6709">
        <w:rPr>
          <w:rFonts w:ascii="Garamond" w:hAnsi="Garamond"/>
          <w:b/>
        </w:rPr>
        <w:t>Pytanie 10</w:t>
      </w:r>
    </w:p>
    <w:p w14:paraId="7A517EC5" w14:textId="5B9654CF" w:rsidR="00794178" w:rsidRPr="002F6709" w:rsidRDefault="00794178" w:rsidP="00794178">
      <w:pPr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>w zakresie części 1:</w:t>
      </w:r>
    </w:p>
    <w:p w14:paraId="77C67086" w14:textId="4D247258" w:rsidR="00794178" w:rsidRDefault="00794178" w:rsidP="00794178">
      <w:pPr>
        <w:jc w:val="both"/>
        <w:rPr>
          <w:rFonts w:ascii="Garamond" w:hAnsi="Garamond"/>
          <w:lang w:eastAsia="pl-PL"/>
        </w:rPr>
      </w:pPr>
      <w:r w:rsidRPr="002F6709">
        <w:rPr>
          <w:rFonts w:ascii="Garamond" w:hAnsi="Garamond"/>
          <w:lang w:eastAsia="pl-PL"/>
        </w:rPr>
        <w:t xml:space="preserve">Jak należy potwierdzić spełnienie warunku granicznego opisanego w zał. 1b dla części 1, pkt. 11 w przypadku zaoferowania pasków nieuniwersalnych </w:t>
      </w:r>
      <w:proofErr w:type="spellStart"/>
      <w:r w:rsidRPr="002F6709">
        <w:rPr>
          <w:rFonts w:ascii="Garamond" w:hAnsi="Garamond"/>
          <w:lang w:eastAsia="pl-PL"/>
        </w:rPr>
        <w:t>IgG</w:t>
      </w:r>
      <w:proofErr w:type="spellEnd"/>
      <w:r w:rsidRPr="002F6709">
        <w:rPr>
          <w:rFonts w:ascii="Garamond" w:hAnsi="Garamond"/>
          <w:lang w:eastAsia="pl-PL"/>
        </w:rPr>
        <w:t>/</w:t>
      </w:r>
      <w:proofErr w:type="spellStart"/>
      <w:r w:rsidRPr="002F6709">
        <w:rPr>
          <w:rFonts w:ascii="Garamond" w:hAnsi="Garamond"/>
          <w:lang w:eastAsia="pl-PL"/>
        </w:rPr>
        <w:t>IgM</w:t>
      </w:r>
      <w:proofErr w:type="spellEnd"/>
      <w:r w:rsidRPr="002F6709">
        <w:rPr>
          <w:rFonts w:ascii="Garamond" w:hAnsi="Garamond"/>
          <w:lang w:eastAsia="pl-PL"/>
        </w:rPr>
        <w:t>?</w:t>
      </w:r>
    </w:p>
    <w:p w14:paraId="0A4365E0" w14:textId="77777777" w:rsidR="00036695" w:rsidRPr="002F6709" w:rsidRDefault="00036695" w:rsidP="00794178">
      <w:pPr>
        <w:jc w:val="both"/>
        <w:rPr>
          <w:rFonts w:ascii="Garamond" w:hAnsi="Garamond"/>
          <w:lang w:eastAsia="pl-PL"/>
        </w:rPr>
      </w:pPr>
    </w:p>
    <w:p w14:paraId="1AB29207" w14:textId="2F82CCE4" w:rsidR="00C750CB" w:rsidRPr="002F6709" w:rsidRDefault="00794178" w:rsidP="00794178">
      <w:pPr>
        <w:jc w:val="both"/>
        <w:rPr>
          <w:rFonts w:ascii="Garamond" w:hAnsi="Garamond"/>
          <w:b/>
        </w:rPr>
      </w:pPr>
      <w:r w:rsidRPr="002F6709">
        <w:rPr>
          <w:rFonts w:ascii="Garamond" w:hAnsi="Garamond"/>
          <w:b/>
        </w:rPr>
        <w:lastRenderedPageBreak/>
        <w:t xml:space="preserve">Odpowiedź: </w:t>
      </w:r>
      <w:r w:rsidR="00C750CB" w:rsidRPr="002F6709">
        <w:rPr>
          <w:rFonts w:ascii="Garamond" w:hAnsi="Garamond"/>
          <w:b/>
        </w:rPr>
        <w:t>Jeżeli zaoferowane paski testowe są odrębne dla poszczególnych klas warunek ten nie ma zastosowania</w:t>
      </w:r>
      <w:r w:rsidR="0064500E" w:rsidRPr="002F6709">
        <w:rPr>
          <w:rFonts w:ascii="Garamond" w:hAnsi="Garamond"/>
          <w:b/>
        </w:rPr>
        <w:t xml:space="preserve"> ponieważ</w:t>
      </w:r>
      <w:r w:rsidR="00C750CB" w:rsidRPr="002F6709">
        <w:rPr>
          <w:rFonts w:ascii="Garamond" w:hAnsi="Garamond"/>
          <w:b/>
        </w:rPr>
        <w:t xml:space="preserve"> </w:t>
      </w:r>
      <w:r w:rsidR="0064500E" w:rsidRPr="002F6709">
        <w:rPr>
          <w:rFonts w:ascii="Garamond" w:hAnsi="Garamond"/>
          <w:b/>
        </w:rPr>
        <w:t>m</w:t>
      </w:r>
      <w:r w:rsidR="00C750CB" w:rsidRPr="002F6709">
        <w:rPr>
          <w:rFonts w:ascii="Garamond" w:hAnsi="Garamond"/>
          <w:b/>
        </w:rPr>
        <w:t xml:space="preserve">a on wprowadzony tryb warunkowości: „W przypadku pasków uniwersalnych </w:t>
      </w:r>
      <w:proofErr w:type="spellStart"/>
      <w:r w:rsidR="00C750CB" w:rsidRPr="002F6709">
        <w:rPr>
          <w:rFonts w:ascii="Garamond" w:hAnsi="Garamond"/>
          <w:b/>
        </w:rPr>
        <w:t>IgG</w:t>
      </w:r>
      <w:proofErr w:type="spellEnd"/>
      <w:r w:rsidR="00C750CB" w:rsidRPr="002F6709">
        <w:rPr>
          <w:rFonts w:ascii="Garamond" w:hAnsi="Garamond"/>
          <w:b/>
        </w:rPr>
        <w:t>/</w:t>
      </w:r>
      <w:proofErr w:type="spellStart"/>
      <w:r w:rsidR="00C750CB" w:rsidRPr="002F6709">
        <w:rPr>
          <w:rFonts w:ascii="Garamond" w:hAnsi="Garamond"/>
          <w:b/>
        </w:rPr>
        <w:t>IgM</w:t>
      </w:r>
      <w:proofErr w:type="spellEnd"/>
      <w:r w:rsidR="00C750CB" w:rsidRPr="002F6709">
        <w:rPr>
          <w:rFonts w:ascii="Garamond" w:hAnsi="Garamond"/>
          <w:b/>
        </w:rPr>
        <w:t xml:space="preserve">…”. W przypadku pasków odrębnych dla klas </w:t>
      </w:r>
      <w:proofErr w:type="spellStart"/>
      <w:r w:rsidR="00C750CB" w:rsidRPr="002F6709">
        <w:rPr>
          <w:rFonts w:ascii="Garamond" w:hAnsi="Garamond"/>
          <w:b/>
        </w:rPr>
        <w:t>IgG</w:t>
      </w:r>
      <w:proofErr w:type="spellEnd"/>
      <w:r w:rsidR="00C750CB" w:rsidRPr="002F6709">
        <w:rPr>
          <w:rFonts w:ascii="Garamond" w:hAnsi="Garamond"/>
          <w:b/>
        </w:rPr>
        <w:t xml:space="preserve"> i </w:t>
      </w:r>
      <w:proofErr w:type="spellStart"/>
      <w:r w:rsidR="00C750CB" w:rsidRPr="002F6709">
        <w:rPr>
          <w:rFonts w:ascii="Garamond" w:hAnsi="Garamond"/>
          <w:b/>
        </w:rPr>
        <w:t>IgM</w:t>
      </w:r>
      <w:proofErr w:type="spellEnd"/>
      <w:r w:rsidR="00C750CB" w:rsidRPr="002F6709">
        <w:rPr>
          <w:rFonts w:ascii="Garamond" w:hAnsi="Garamond"/>
          <w:b/>
        </w:rPr>
        <w:t xml:space="preserve"> paski oznaczane są fabrycznie i na tej podstawie </w:t>
      </w:r>
      <w:r w:rsidR="003A01F6" w:rsidRPr="002F6709">
        <w:rPr>
          <w:rFonts w:ascii="Garamond" w:hAnsi="Garamond"/>
          <w:b/>
        </w:rPr>
        <w:t xml:space="preserve">mogą być </w:t>
      </w:r>
      <w:r w:rsidR="00C750CB" w:rsidRPr="002F6709">
        <w:rPr>
          <w:rFonts w:ascii="Garamond" w:hAnsi="Garamond"/>
          <w:b/>
        </w:rPr>
        <w:t>rozróżni</w:t>
      </w:r>
      <w:r w:rsidR="003A01F6" w:rsidRPr="002F6709">
        <w:rPr>
          <w:rFonts w:ascii="Garamond" w:hAnsi="Garamond"/>
          <w:b/>
        </w:rPr>
        <w:t>ane</w:t>
      </w:r>
      <w:r w:rsidR="00C750CB" w:rsidRPr="002F6709">
        <w:rPr>
          <w:rFonts w:ascii="Garamond" w:hAnsi="Garamond"/>
          <w:b/>
        </w:rPr>
        <w:t>.</w:t>
      </w:r>
    </w:p>
    <w:p w14:paraId="4401DD25" w14:textId="24E290C8" w:rsidR="00794178" w:rsidRPr="002F6709" w:rsidRDefault="00794178" w:rsidP="00794178">
      <w:pPr>
        <w:jc w:val="both"/>
        <w:rPr>
          <w:rFonts w:ascii="Garamond" w:hAnsi="Garamond"/>
          <w:lang w:eastAsia="pl-PL"/>
        </w:rPr>
      </w:pPr>
    </w:p>
    <w:p w14:paraId="22D9056D" w14:textId="7AB1FCFD" w:rsidR="002D0291" w:rsidRPr="002F6709" w:rsidRDefault="002D0291" w:rsidP="00794178">
      <w:pPr>
        <w:jc w:val="both"/>
        <w:rPr>
          <w:rFonts w:ascii="Garamond" w:hAnsi="Garamond"/>
          <w:lang w:eastAsia="pl-PL"/>
        </w:rPr>
      </w:pPr>
    </w:p>
    <w:p w14:paraId="3F6E49AA" w14:textId="77777777" w:rsidR="002D0291" w:rsidRPr="002F6709" w:rsidRDefault="002D0291" w:rsidP="002D0291">
      <w:pPr>
        <w:ind w:firstLine="708"/>
        <w:jc w:val="both"/>
        <w:rPr>
          <w:rFonts w:ascii="Garamond" w:hAnsi="Garamond"/>
          <w:b/>
          <w:lang w:eastAsia="pl-PL"/>
        </w:rPr>
      </w:pPr>
    </w:p>
    <w:p w14:paraId="050CE6C3" w14:textId="45ADFE98" w:rsidR="002D0291" w:rsidRPr="002F6709" w:rsidRDefault="002D0291" w:rsidP="002D0291">
      <w:pPr>
        <w:ind w:firstLine="708"/>
        <w:jc w:val="both"/>
        <w:rPr>
          <w:rFonts w:ascii="Garamond" w:hAnsi="Garamond"/>
          <w:b/>
          <w:lang w:eastAsia="pl-PL"/>
        </w:rPr>
      </w:pPr>
      <w:r w:rsidRPr="002F6709">
        <w:rPr>
          <w:rFonts w:ascii="Garamond" w:hAnsi="Garamond"/>
          <w:b/>
          <w:lang w:eastAsia="pl-PL"/>
        </w:rPr>
        <w:t xml:space="preserve">W załączeniu przekazuję zmodyfikowany opis wymagań granicznych w zakresie części 1 i części 2 (stanowiący załącznik nr 1b do SWZ) oraz wzór umowy (stanowiący załącznik nr 5 do SWZ). </w:t>
      </w:r>
    </w:p>
    <w:p w14:paraId="19436050" w14:textId="77777777" w:rsidR="002D0291" w:rsidRPr="002F6709" w:rsidRDefault="002D0291" w:rsidP="00794178">
      <w:pPr>
        <w:jc w:val="both"/>
        <w:rPr>
          <w:rFonts w:ascii="Garamond" w:hAnsi="Garamond"/>
          <w:lang w:eastAsia="pl-PL"/>
        </w:rPr>
      </w:pPr>
      <w:bookmarkStart w:id="0" w:name="_GoBack"/>
      <w:bookmarkEnd w:id="0"/>
    </w:p>
    <w:sectPr w:rsidR="002D0291" w:rsidRPr="002F6709" w:rsidSect="00182DA2">
      <w:headerReference w:type="default" r:id="rId11"/>
      <w:footerReference w:type="default" r:id="rId12"/>
      <w:pgSz w:w="11906" w:h="16838"/>
      <w:pgMar w:top="319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CDC11" w14:textId="77777777" w:rsidR="003F2BFB" w:rsidRDefault="003F2BFB" w:rsidP="00E22E7B">
      <w:r>
        <w:separator/>
      </w:r>
    </w:p>
  </w:endnote>
  <w:endnote w:type="continuationSeparator" w:id="0">
    <w:p w14:paraId="5DB12BB3" w14:textId="77777777" w:rsidR="003F2BFB" w:rsidRDefault="003F2BFB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003888">
      <w:rPr>
        <w:rFonts w:ascii="Adobe Garamond Pro" w:hAnsi="Adobe Garamond Pro"/>
        <w:color w:val="B5123E"/>
        <w:sz w:val="24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</w:rPr>
      <w:t xml:space="preserve">Mikołaja </w:t>
    </w:r>
    <w:r w:rsidRPr="00003888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EA09C2" w:rsidRDefault="005648AF" w:rsidP="007710AA">
    <w:pPr>
      <w:pStyle w:val="Stopka"/>
      <w:jc w:val="center"/>
      <w:rPr>
        <w:lang w:val="en-US"/>
      </w:rPr>
    </w:pPr>
    <w:r w:rsidRPr="00EA09C2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A09C2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85494" w14:textId="77777777" w:rsidR="003F2BFB" w:rsidRDefault="003F2BFB" w:rsidP="00E22E7B">
      <w:r>
        <w:separator/>
      </w:r>
    </w:p>
  </w:footnote>
  <w:footnote w:type="continuationSeparator" w:id="0">
    <w:p w14:paraId="22E40FD8" w14:textId="77777777" w:rsidR="003F2BFB" w:rsidRDefault="003F2BFB" w:rsidP="00E22E7B">
      <w:r>
        <w:continuationSeparator/>
      </w:r>
    </w:p>
  </w:footnote>
  <w:footnote w:id="1">
    <w:p w14:paraId="2536D71B" w14:textId="77777777" w:rsidR="00DD39AB" w:rsidRPr="003F4BFC" w:rsidRDefault="00DD39AB" w:rsidP="00DD39AB">
      <w:pPr>
        <w:pStyle w:val="Tekstprzypisudolnego"/>
        <w:rPr>
          <w:rFonts w:ascii="Garamond" w:hAnsi="Garamond"/>
          <w:sz w:val="22"/>
        </w:rPr>
      </w:pPr>
      <w:r w:rsidRPr="003F4BFC">
        <w:rPr>
          <w:rStyle w:val="Odwoanieprzypisudolnego"/>
          <w:rFonts w:ascii="Garamond" w:hAnsi="Garamond"/>
          <w:sz w:val="22"/>
        </w:rPr>
        <w:footnoteRef/>
      </w:r>
      <w:r w:rsidRPr="003F4BFC">
        <w:rPr>
          <w:rFonts w:ascii="Garamond" w:hAnsi="Garamond"/>
          <w:sz w:val="22"/>
        </w:rPr>
        <w:t xml:space="preserve"> </w:t>
      </w:r>
      <w:r w:rsidRPr="003F4BFC">
        <w:rPr>
          <w:rFonts w:ascii="Garamond" w:hAnsi="Garamond"/>
        </w:rPr>
        <w:t>Dotyczy części 2 poz. 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3DB"/>
    <w:multiLevelType w:val="multilevel"/>
    <w:tmpl w:val="0D50F4E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E51758"/>
    <w:multiLevelType w:val="multilevel"/>
    <w:tmpl w:val="875AEA6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55A42"/>
    <w:multiLevelType w:val="multilevel"/>
    <w:tmpl w:val="65D62EA0"/>
    <w:styleLink w:val="WWNum43"/>
    <w:lvl w:ilvl="0">
      <w:start w:val="1"/>
      <w:numFmt w:val="lowerLetter"/>
      <w:lvlText w:val="%1)"/>
      <w:lvlJc w:val="left"/>
      <w:pPr>
        <w:ind w:left="144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4" w15:restartNumberingAfterBreak="0">
    <w:nsid w:val="30020847"/>
    <w:multiLevelType w:val="multilevel"/>
    <w:tmpl w:val="7D1E6C4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3.8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C585B17"/>
    <w:multiLevelType w:val="hybridMultilevel"/>
    <w:tmpl w:val="112C26AE"/>
    <w:lvl w:ilvl="0" w:tplc="4146A5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1135"/>
    <w:multiLevelType w:val="multilevel"/>
    <w:tmpl w:val="9FA87A96"/>
    <w:styleLink w:val="WWNum41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3"/>
    <w:lvlOverride w:ilvl="0">
      <w:lvl w:ilvl="0">
        <w:start w:val="1"/>
        <w:numFmt w:val="lowerLetter"/>
        <w:lvlText w:val="%1)"/>
        <w:lvlJc w:val="left"/>
        <w:pPr>
          <w:ind w:left="1440" w:hanging="360"/>
        </w:pPr>
        <w:rPr>
          <w:color w:val="00000A"/>
          <w:sz w:val="22"/>
          <w:szCs w:val="22"/>
        </w:rPr>
      </w:lvl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046"/>
    <w:rsid w:val="00003888"/>
    <w:rsid w:val="000072AB"/>
    <w:rsid w:val="00007DA7"/>
    <w:rsid w:val="00013D9D"/>
    <w:rsid w:val="000168CE"/>
    <w:rsid w:val="00016E52"/>
    <w:rsid w:val="000236B8"/>
    <w:rsid w:val="00025468"/>
    <w:rsid w:val="00027F58"/>
    <w:rsid w:val="00030524"/>
    <w:rsid w:val="00036695"/>
    <w:rsid w:val="00041E6C"/>
    <w:rsid w:val="000432BF"/>
    <w:rsid w:val="000473BD"/>
    <w:rsid w:val="00053F7D"/>
    <w:rsid w:val="00055D02"/>
    <w:rsid w:val="0006125C"/>
    <w:rsid w:val="000703D2"/>
    <w:rsid w:val="00074020"/>
    <w:rsid w:val="00081B8E"/>
    <w:rsid w:val="00090B8D"/>
    <w:rsid w:val="00094B5C"/>
    <w:rsid w:val="000A0B51"/>
    <w:rsid w:val="000A372E"/>
    <w:rsid w:val="000A4A5D"/>
    <w:rsid w:val="000B1340"/>
    <w:rsid w:val="000B1F9D"/>
    <w:rsid w:val="000B2E90"/>
    <w:rsid w:val="000B743C"/>
    <w:rsid w:val="000C13DA"/>
    <w:rsid w:val="000D02FD"/>
    <w:rsid w:val="000D21E0"/>
    <w:rsid w:val="000D5989"/>
    <w:rsid w:val="000D7053"/>
    <w:rsid w:val="000E2492"/>
    <w:rsid w:val="000E352F"/>
    <w:rsid w:val="000E667E"/>
    <w:rsid w:val="000E6A3E"/>
    <w:rsid w:val="000E6B8F"/>
    <w:rsid w:val="000E7009"/>
    <w:rsid w:val="000E79B0"/>
    <w:rsid w:val="000F0D14"/>
    <w:rsid w:val="000F21E8"/>
    <w:rsid w:val="000F4490"/>
    <w:rsid w:val="000F519F"/>
    <w:rsid w:val="000F56AC"/>
    <w:rsid w:val="000F6FE5"/>
    <w:rsid w:val="000F73B0"/>
    <w:rsid w:val="001020F0"/>
    <w:rsid w:val="0010576C"/>
    <w:rsid w:val="0011208C"/>
    <w:rsid w:val="00112BC9"/>
    <w:rsid w:val="00114C04"/>
    <w:rsid w:val="00115A89"/>
    <w:rsid w:val="00116761"/>
    <w:rsid w:val="0012091D"/>
    <w:rsid w:val="0012218E"/>
    <w:rsid w:val="00122B97"/>
    <w:rsid w:val="00125612"/>
    <w:rsid w:val="0012782D"/>
    <w:rsid w:val="00137456"/>
    <w:rsid w:val="00140682"/>
    <w:rsid w:val="00147A23"/>
    <w:rsid w:val="0015558F"/>
    <w:rsid w:val="00156577"/>
    <w:rsid w:val="00164905"/>
    <w:rsid w:val="00164D2D"/>
    <w:rsid w:val="001664D2"/>
    <w:rsid w:val="00166830"/>
    <w:rsid w:val="00167DCE"/>
    <w:rsid w:val="00172784"/>
    <w:rsid w:val="00173C88"/>
    <w:rsid w:val="0017416C"/>
    <w:rsid w:val="00177FE5"/>
    <w:rsid w:val="00180A15"/>
    <w:rsid w:val="00182DA2"/>
    <w:rsid w:val="0018330F"/>
    <w:rsid w:val="00183E06"/>
    <w:rsid w:val="00183EF5"/>
    <w:rsid w:val="001849A7"/>
    <w:rsid w:val="00186269"/>
    <w:rsid w:val="001873B0"/>
    <w:rsid w:val="001947D1"/>
    <w:rsid w:val="00194BDD"/>
    <w:rsid w:val="00196126"/>
    <w:rsid w:val="00196820"/>
    <w:rsid w:val="001A4088"/>
    <w:rsid w:val="001A71A4"/>
    <w:rsid w:val="001A756D"/>
    <w:rsid w:val="001A7663"/>
    <w:rsid w:val="001A77BD"/>
    <w:rsid w:val="001B0A1D"/>
    <w:rsid w:val="001B1D46"/>
    <w:rsid w:val="001B1FB9"/>
    <w:rsid w:val="001B3D6C"/>
    <w:rsid w:val="001B5BE6"/>
    <w:rsid w:val="001C2378"/>
    <w:rsid w:val="001C308E"/>
    <w:rsid w:val="001D20D8"/>
    <w:rsid w:val="001D2C5D"/>
    <w:rsid w:val="001E1932"/>
    <w:rsid w:val="001E1A63"/>
    <w:rsid w:val="001E3A04"/>
    <w:rsid w:val="001F1447"/>
    <w:rsid w:val="001F629B"/>
    <w:rsid w:val="001F6A62"/>
    <w:rsid w:val="00202F3C"/>
    <w:rsid w:val="0020406D"/>
    <w:rsid w:val="00205B27"/>
    <w:rsid w:val="00205F2B"/>
    <w:rsid w:val="002074DA"/>
    <w:rsid w:val="00217FDB"/>
    <w:rsid w:val="00225B57"/>
    <w:rsid w:val="00230EA3"/>
    <w:rsid w:val="00231511"/>
    <w:rsid w:val="00231C25"/>
    <w:rsid w:val="00233155"/>
    <w:rsid w:val="0023317B"/>
    <w:rsid w:val="00245134"/>
    <w:rsid w:val="00245A31"/>
    <w:rsid w:val="0024768C"/>
    <w:rsid w:val="0025158B"/>
    <w:rsid w:val="0025580F"/>
    <w:rsid w:val="00257FE4"/>
    <w:rsid w:val="00263CE4"/>
    <w:rsid w:val="002658A4"/>
    <w:rsid w:val="00272CF4"/>
    <w:rsid w:val="00277278"/>
    <w:rsid w:val="00281ADE"/>
    <w:rsid w:val="00281B7F"/>
    <w:rsid w:val="00284FD2"/>
    <w:rsid w:val="0028516D"/>
    <w:rsid w:val="002928E9"/>
    <w:rsid w:val="0029375D"/>
    <w:rsid w:val="00294C3A"/>
    <w:rsid w:val="0029632D"/>
    <w:rsid w:val="00296489"/>
    <w:rsid w:val="002A132E"/>
    <w:rsid w:val="002B09CA"/>
    <w:rsid w:val="002B4C0B"/>
    <w:rsid w:val="002B521E"/>
    <w:rsid w:val="002B573F"/>
    <w:rsid w:val="002B675D"/>
    <w:rsid w:val="002C0F31"/>
    <w:rsid w:val="002C5ED9"/>
    <w:rsid w:val="002C6B1C"/>
    <w:rsid w:val="002D0291"/>
    <w:rsid w:val="002D0888"/>
    <w:rsid w:val="002D3E21"/>
    <w:rsid w:val="002E0691"/>
    <w:rsid w:val="002E1854"/>
    <w:rsid w:val="002F0822"/>
    <w:rsid w:val="002F6709"/>
    <w:rsid w:val="002F7BF5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34CED"/>
    <w:rsid w:val="003414AF"/>
    <w:rsid w:val="0034398C"/>
    <w:rsid w:val="00343A8E"/>
    <w:rsid w:val="003518E4"/>
    <w:rsid w:val="00352D70"/>
    <w:rsid w:val="00353D40"/>
    <w:rsid w:val="0035647C"/>
    <w:rsid w:val="003568F5"/>
    <w:rsid w:val="003649BF"/>
    <w:rsid w:val="003707C4"/>
    <w:rsid w:val="0037168B"/>
    <w:rsid w:val="0037289F"/>
    <w:rsid w:val="00376AC9"/>
    <w:rsid w:val="003810B9"/>
    <w:rsid w:val="00381541"/>
    <w:rsid w:val="0038622E"/>
    <w:rsid w:val="0038727A"/>
    <w:rsid w:val="0039132C"/>
    <w:rsid w:val="003947DE"/>
    <w:rsid w:val="00395940"/>
    <w:rsid w:val="003A01F6"/>
    <w:rsid w:val="003A1A05"/>
    <w:rsid w:val="003A55D3"/>
    <w:rsid w:val="003A6FCF"/>
    <w:rsid w:val="003B26C2"/>
    <w:rsid w:val="003B5901"/>
    <w:rsid w:val="003B5ED4"/>
    <w:rsid w:val="003B6BF5"/>
    <w:rsid w:val="003B77D5"/>
    <w:rsid w:val="003C38E9"/>
    <w:rsid w:val="003D23CF"/>
    <w:rsid w:val="003D3922"/>
    <w:rsid w:val="003D4AA7"/>
    <w:rsid w:val="003E0F04"/>
    <w:rsid w:val="003E2355"/>
    <w:rsid w:val="003E4B7E"/>
    <w:rsid w:val="003F16AF"/>
    <w:rsid w:val="003F2BFB"/>
    <w:rsid w:val="003F447D"/>
    <w:rsid w:val="003F4BFC"/>
    <w:rsid w:val="003F75AE"/>
    <w:rsid w:val="003F7FC6"/>
    <w:rsid w:val="004010FB"/>
    <w:rsid w:val="00404A7F"/>
    <w:rsid w:val="0041008C"/>
    <w:rsid w:val="0041567D"/>
    <w:rsid w:val="00417E59"/>
    <w:rsid w:val="00420C2A"/>
    <w:rsid w:val="00421E70"/>
    <w:rsid w:val="00442A08"/>
    <w:rsid w:val="00445724"/>
    <w:rsid w:val="00447FAC"/>
    <w:rsid w:val="00451339"/>
    <w:rsid w:val="00456062"/>
    <w:rsid w:val="004560E1"/>
    <w:rsid w:val="004606C4"/>
    <w:rsid w:val="00461468"/>
    <w:rsid w:val="00464381"/>
    <w:rsid w:val="004713CC"/>
    <w:rsid w:val="00471988"/>
    <w:rsid w:val="00471B88"/>
    <w:rsid w:val="00473647"/>
    <w:rsid w:val="00474AC3"/>
    <w:rsid w:val="00490CC8"/>
    <w:rsid w:val="00490F8C"/>
    <w:rsid w:val="0049212E"/>
    <w:rsid w:val="0049275B"/>
    <w:rsid w:val="00492F6A"/>
    <w:rsid w:val="004957B1"/>
    <w:rsid w:val="0049765A"/>
    <w:rsid w:val="00497812"/>
    <w:rsid w:val="004A251F"/>
    <w:rsid w:val="004B24C5"/>
    <w:rsid w:val="004B4BA9"/>
    <w:rsid w:val="004B6C4D"/>
    <w:rsid w:val="004B77B1"/>
    <w:rsid w:val="004C3891"/>
    <w:rsid w:val="004C6AA8"/>
    <w:rsid w:val="004D4F2C"/>
    <w:rsid w:val="004D6D31"/>
    <w:rsid w:val="004E043B"/>
    <w:rsid w:val="004E1B27"/>
    <w:rsid w:val="004E694C"/>
    <w:rsid w:val="004F0D26"/>
    <w:rsid w:val="004F1BA5"/>
    <w:rsid w:val="004F4B1C"/>
    <w:rsid w:val="00501D5D"/>
    <w:rsid w:val="00504664"/>
    <w:rsid w:val="00505B32"/>
    <w:rsid w:val="00507070"/>
    <w:rsid w:val="00512E60"/>
    <w:rsid w:val="005131AD"/>
    <w:rsid w:val="005139AA"/>
    <w:rsid w:val="005143D1"/>
    <w:rsid w:val="00515F66"/>
    <w:rsid w:val="00517B6A"/>
    <w:rsid w:val="00526CB5"/>
    <w:rsid w:val="00533D69"/>
    <w:rsid w:val="0053452B"/>
    <w:rsid w:val="005359CA"/>
    <w:rsid w:val="00542F63"/>
    <w:rsid w:val="005476D5"/>
    <w:rsid w:val="00554F57"/>
    <w:rsid w:val="005640E6"/>
    <w:rsid w:val="005648AF"/>
    <w:rsid w:val="00566902"/>
    <w:rsid w:val="0057096D"/>
    <w:rsid w:val="00572816"/>
    <w:rsid w:val="00576C73"/>
    <w:rsid w:val="00586809"/>
    <w:rsid w:val="00586C10"/>
    <w:rsid w:val="00587AD7"/>
    <w:rsid w:val="00587F24"/>
    <w:rsid w:val="0059376A"/>
    <w:rsid w:val="005958E7"/>
    <w:rsid w:val="005A2322"/>
    <w:rsid w:val="005A2580"/>
    <w:rsid w:val="005A44A3"/>
    <w:rsid w:val="005A542D"/>
    <w:rsid w:val="005A55A2"/>
    <w:rsid w:val="005A5DE0"/>
    <w:rsid w:val="005A7A04"/>
    <w:rsid w:val="005B15A2"/>
    <w:rsid w:val="005B7BF9"/>
    <w:rsid w:val="005C5803"/>
    <w:rsid w:val="005C6095"/>
    <w:rsid w:val="005D1640"/>
    <w:rsid w:val="005D4F21"/>
    <w:rsid w:val="005D6B91"/>
    <w:rsid w:val="005E05A4"/>
    <w:rsid w:val="005E1C3A"/>
    <w:rsid w:val="005E6B04"/>
    <w:rsid w:val="005F398A"/>
    <w:rsid w:val="0060027F"/>
    <w:rsid w:val="00600795"/>
    <w:rsid w:val="00601658"/>
    <w:rsid w:val="00603870"/>
    <w:rsid w:val="00605546"/>
    <w:rsid w:val="00606874"/>
    <w:rsid w:val="006125FD"/>
    <w:rsid w:val="00613FF4"/>
    <w:rsid w:val="00615C39"/>
    <w:rsid w:val="00616086"/>
    <w:rsid w:val="00624744"/>
    <w:rsid w:val="00625AD7"/>
    <w:rsid w:val="00627068"/>
    <w:rsid w:val="00631473"/>
    <w:rsid w:val="00634407"/>
    <w:rsid w:val="00634C5A"/>
    <w:rsid w:val="00640F40"/>
    <w:rsid w:val="006449DF"/>
    <w:rsid w:val="0064500E"/>
    <w:rsid w:val="00645BF1"/>
    <w:rsid w:val="00646C30"/>
    <w:rsid w:val="00647A78"/>
    <w:rsid w:val="00650702"/>
    <w:rsid w:val="0065347F"/>
    <w:rsid w:val="006650CC"/>
    <w:rsid w:val="006710A5"/>
    <w:rsid w:val="00672394"/>
    <w:rsid w:val="0067656D"/>
    <w:rsid w:val="00677D25"/>
    <w:rsid w:val="00680F47"/>
    <w:rsid w:val="00687B91"/>
    <w:rsid w:val="0069110A"/>
    <w:rsid w:val="00695F80"/>
    <w:rsid w:val="00696713"/>
    <w:rsid w:val="006A2C04"/>
    <w:rsid w:val="006A6D8F"/>
    <w:rsid w:val="006B2EC0"/>
    <w:rsid w:val="006B4C3B"/>
    <w:rsid w:val="006C043F"/>
    <w:rsid w:val="006D15E9"/>
    <w:rsid w:val="006D7306"/>
    <w:rsid w:val="006E1172"/>
    <w:rsid w:val="006E1BEE"/>
    <w:rsid w:val="006E4FFE"/>
    <w:rsid w:val="006F0DE7"/>
    <w:rsid w:val="006F24F8"/>
    <w:rsid w:val="006F5AE5"/>
    <w:rsid w:val="0070687D"/>
    <w:rsid w:val="00711B6A"/>
    <w:rsid w:val="007138CA"/>
    <w:rsid w:val="00721087"/>
    <w:rsid w:val="007217A2"/>
    <w:rsid w:val="007332E4"/>
    <w:rsid w:val="00735283"/>
    <w:rsid w:val="00735C97"/>
    <w:rsid w:val="007362E9"/>
    <w:rsid w:val="00740133"/>
    <w:rsid w:val="00744E55"/>
    <w:rsid w:val="0074640A"/>
    <w:rsid w:val="007504AA"/>
    <w:rsid w:val="00761DD3"/>
    <w:rsid w:val="0076377D"/>
    <w:rsid w:val="00763906"/>
    <w:rsid w:val="00766F20"/>
    <w:rsid w:val="00767842"/>
    <w:rsid w:val="00770384"/>
    <w:rsid w:val="0077089E"/>
    <w:rsid w:val="007710AA"/>
    <w:rsid w:val="00776B84"/>
    <w:rsid w:val="00777C43"/>
    <w:rsid w:val="007806E5"/>
    <w:rsid w:val="007817E2"/>
    <w:rsid w:val="00782E6A"/>
    <w:rsid w:val="00782F01"/>
    <w:rsid w:val="00784942"/>
    <w:rsid w:val="00787BF1"/>
    <w:rsid w:val="00794178"/>
    <w:rsid w:val="007954D0"/>
    <w:rsid w:val="00795ED0"/>
    <w:rsid w:val="007974AE"/>
    <w:rsid w:val="007978E7"/>
    <w:rsid w:val="007A4116"/>
    <w:rsid w:val="007A5F14"/>
    <w:rsid w:val="007A7A54"/>
    <w:rsid w:val="007B0E06"/>
    <w:rsid w:val="007B1C4E"/>
    <w:rsid w:val="007B51AA"/>
    <w:rsid w:val="007B6D78"/>
    <w:rsid w:val="007C1A47"/>
    <w:rsid w:val="007C335F"/>
    <w:rsid w:val="007C5937"/>
    <w:rsid w:val="007C77BF"/>
    <w:rsid w:val="007D061F"/>
    <w:rsid w:val="007D3E48"/>
    <w:rsid w:val="007D5012"/>
    <w:rsid w:val="007D57FA"/>
    <w:rsid w:val="007E0024"/>
    <w:rsid w:val="007E18D1"/>
    <w:rsid w:val="007E1E18"/>
    <w:rsid w:val="007F0FA2"/>
    <w:rsid w:val="007F1093"/>
    <w:rsid w:val="007F3486"/>
    <w:rsid w:val="007F4C37"/>
    <w:rsid w:val="00802D03"/>
    <w:rsid w:val="00803174"/>
    <w:rsid w:val="0080575F"/>
    <w:rsid w:val="0082614D"/>
    <w:rsid w:val="00827314"/>
    <w:rsid w:val="008324B3"/>
    <w:rsid w:val="00835704"/>
    <w:rsid w:val="00840CEB"/>
    <w:rsid w:val="00842B09"/>
    <w:rsid w:val="0084366C"/>
    <w:rsid w:val="008439A0"/>
    <w:rsid w:val="00843BBA"/>
    <w:rsid w:val="00845979"/>
    <w:rsid w:val="00847D69"/>
    <w:rsid w:val="008528EB"/>
    <w:rsid w:val="00852DA3"/>
    <w:rsid w:val="0085548C"/>
    <w:rsid w:val="008603D1"/>
    <w:rsid w:val="008629C3"/>
    <w:rsid w:val="00865961"/>
    <w:rsid w:val="00871490"/>
    <w:rsid w:val="00880E90"/>
    <w:rsid w:val="008A047D"/>
    <w:rsid w:val="008A176E"/>
    <w:rsid w:val="008A3FCB"/>
    <w:rsid w:val="008A42A9"/>
    <w:rsid w:val="008A7E54"/>
    <w:rsid w:val="008B0DE5"/>
    <w:rsid w:val="008B3D96"/>
    <w:rsid w:val="008B4111"/>
    <w:rsid w:val="008B5C33"/>
    <w:rsid w:val="008C1927"/>
    <w:rsid w:val="008C5619"/>
    <w:rsid w:val="008C745A"/>
    <w:rsid w:val="008D5527"/>
    <w:rsid w:val="008E2BBF"/>
    <w:rsid w:val="008E4B52"/>
    <w:rsid w:val="008F3700"/>
    <w:rsid w:val="008F7796"/>
    <w:rsid w:val="009065C9"/>
    <w:rsid w:val="00906CD6"/>
    <w:rsid w:val="00911E9C"/>
    <w:rsid w:val="00913848"/>
    <w:rsid w:val="0091562B"/>
    <w:rsid w:val="00915834"/>
    <w:rsid w:val="009159C3"/>
    <w:rsid w:val="00916624"/>
    <w:rsid w:val="009221C3"/>
    <w:rsid w:val="00924C45"/>
    <w:rsid w:val="0092690F"/>
    <w:rsid w:val="009314F1"/>
    <w:rsid w:val="00932852"/>
    <w:rsid w:val="00937C24"/>
    <w:rsid w:val="00940886"/>
    <w:rsid w:val="00941263"/>
    <w:rsid w:val="00950DEA"/>
    <w:rsid w:val="00954FE2"/>
    <w:rsid w:val="00955858"/>
    <w:rsid w:val="00957196"/>
    <w:rsid w:val="00957E08"/>
    <w:rsid w:val="0096252F"/>
    <w:rsid w:val="00971BA8"/>
    <w:rsid w:val="00977CE2"/>
    <w:rsid w:val="009829FE"/>
    <w:rsid w:val="0098386A"/>
    <w:rsid w:val="00997310"/>
    <w:rsid w:val="009A2C61"/>
    <w:rsid w:val="009A488F"/>
    <w:rsid w:val="009A5839"/>
    <w:rsid w:val="009B3680"/>
    <w:rsid w:val="009B37A3"/>
    <w:rsid w:val="009B7FE0"/>
    <w:rsid w:val="009C1BE6"/>
    <w:rsid w:val="009C39EE"/>
    <w:rsid w:val="009C7302"/>
    <w:rsid w:val="009C7F24"/>
    <w:rsid w:val="009D47EC"/>
    <w:rsid w:val="009D5195"/>
    <w:rsid w:val="009D6506"/>
    <w:rsid w:val="009E1A64"/>
    <w:rsid w:val="009E4CF1"/>
    <w:rsid w:val="009E6EDD"/>
    <w:rsid w:val="009E721C"/>
    <w:rsid w:val="009E724A"/>
    <w:rsid w:val="009F13F1"/>
    <w:rsid w:val="009F2441"/>
    <w:rsid w:val="009F31EF"/>
    <w:rsid w:val="009F4D67"/>
    <w:rsid w:val="00A009AF"/>
    <w:rsid w:val="00A021C3"/>
    <w:rsid w:val="00A04B47"/>
    <w:rsid w:val="00A10AE2"/>
    <w:rsid w:val="00A12C20"/>
    <w:rsid w:val="00A20638"/>
    <w:rsid w:val="00A226EF"/>
    <w:rsid w:val="00A24892"/>
    <w:rsid w:val="00A25CC3"/>
    <w:rsid w:val="00A326D0"/>
    <w:rsid w:val="00A36CFC"/>
    <w:rsid w:val="00A37F75"/>
    <w:rsid w:val="00A42003"/>
    <w:rsid w:val="00A45DF9"/>
    <w:rsid w:val="00A46D6C"/>
    <w:rsid w:val="00A51742"/>
    <w:rsid w:val="00A51792"/>
    <w:rsid w:val="00A55C81"/>
    <w:rsid w:val="00A62ED3"/>
    <w:rsid w:val="00A6600C"/>
    <w:rsid w:val="00A67336"/>
    <w:rsid w:val="00A73EA0"/>
    <w:rsid w:val="00A74919"/>
    <w:rsid w:val="00A76703"/>
    <w:rsid w:val="00A76FD5"/>
    <w:rsid w:val="00A85D25"/>
    <w:rsid w:val="00A9137B"/>
    <w:rsid w:val="00A9167C"/>
    <w:rsid w:val="00A93757"/>
    <w:rsid w:val="00A979DE"/>
    <w:rsid w:val="00AA2535"/>
    <w:rsid w:val="00AA2C9E"/>
    <w:rsid w:val="00AA5839"/>
    <w:rsid w:val="00AA7DD6"/>
    <w:rsid w:val="00AB004C"/>
    <w:rsid w:val="00AB0EE8"/>
    <w:rsid w:val="00AB228E"/>
    <w:rsid w:val="00AB5AFA"/>
    <w:rsid w:val="00AB5D49"/>
    <w:rsid w:val="00AC1FA8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5951"/>
    <w:rsid w:val="00AF6209"/>
    <w:rsid w:val="00AF6687"/>
    <w:rsid w:val="00AF66AF"/>
    <w:rsid w:val="00B01450"/>
    <w:rsid w:val="00B104C3"/>
    <w:rsid w:val="00B1076A"/>
    <w:rsid w:val="00B11D53"/>
    <w:rsid w:val="00B146CA"/>
    <w:rsid w:val="00B14BB1"/>
    <w:rsid w:val="00B16D01"/>
    <w:rsid w:val="00B1707B"/>
    <w:rsid w:val="00B21B14"/>
    <w:rsid w:val="00B32843"/>
    <w:rsid w:val="00B36CC6"/>
    <w:rsid w:val="00B43645"/>
    <w:rsid w:val="00B44F81"/>
    <w:rsid w:val="00B46BE6"/>
    <w:rsid w:val="00B506FD"/>
    <w:rsid w:val="00B61325"/>
    <w:rsid w:val="00B719CD"/>
    <w:rsid w:val="00B725B0"/>
    <w:rsid w:val="00B73DA2"/>
    <w:rsid w:val="00B73EF8"/>
    <w:rsid w:val="00B74873"/>
    <w:rsid w:val="00B760A1"/>
    <w:rsid w:val="00B77463"/>
    <w:rsid w:val="00B81CF7"/>
    <w:rsid w:val="00B83622"/>
    <w:rsid w:val="00B87BF7"/>
    <w:rsid w:val="00B90625"/>
    <w:rsid w:val="00B93F1C"/>
    <w:rsid w:val="00B967DE"/>
    <w:rsid w:val="00B97865"/>
    <w:rsid w:val="00BA2C3C"/>
    <w:rsid w:val="00BA2DC0"/>
    <w:rsid w:val="00BA3862"/>
    <w:rsid w:val="00BA5F7E"/>
    <w:rsid w:val="00BA652A"/>
    <w:rsid w:val="00BA7429"/>
    <w:rsid w:val="00BB077F"/>
    <w:rsid w:val="00BB2B80"/>
    <w:rsid w:val="00BB49F0"/>
    <w:rsid w:val="00BB73DB"/>
    <w:rsid w:val="00BB7CF2"/>
    <w:rsid w:val="00BC38C4"/>
    <w:rsid w:val="00BC4D87"/>
    <w:rsid w:val="00BD57C0"/>
    <w:rsid w:val="00BD5B01"/>
    <w:rsid w:val="00BE208D"/>
    <w:rsid w:val="00BE4E4B"/>
    <w:rsid w:val="00BF43CE"/>
    <w:rsid w:val="00BF67CD"/>
    <w:rsid w:val="00BF77CC"/>
    <w:rsid w:val="00BF7F83"/>
    <w:rsid w:val="00C002FB"/>
    <w:rsid w:val="00C01943"/>
    <w:rsid w:val="00C0304E"/>
    <w:rsid w:val="00C03926"/>
    <w:rsid w:val="00C041E4"/>
    <w:rsid w:val="00C071E2"/>
    <w:rsid w:val="00C120C2"/>
    <w:rsid w:val="00C136A8"/>
    <w:rsid w:val="00C13ED9"/>
    <w:rsid w:val="00C14CB2"/>
    <w:rsid w:val="00C25BF3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722CF"/>
    <w:rsid w:val="00C750CB"/>
    <w:rsid w:val="00C76746"/>
    <w:rsid w:val="00C815F7"/>
    <w:rsid w:val="00C8267F"/>
    <w:rsid w:val="00C86D5C"/>
    <w:rsid w:val="00C878F3"/>
    <w:rsid w:val="00C9235B"/>
    <w:rsid w:val="00C9407D"/>
    <w:rsid w:val="00CA10DF"/>
    <w:rsid w:val="00CA2AA2"/>
    <w:rsid w:val="00CA3A36"/>
    <w:rsid w:val="00CB726C"/>
    <w:rsid w:val="00CB7F3D"/>
    <w:rsid w:val="00CC14AD"/>
    <w:rsid w:val="00CC1F2E"/>
    <w:rsid w:val="00CC4794"/>
    <w:rsid w:val="00CC6587"/>
    <w:rsid w:val="00CD61F2"/>
    <w:rsid w:val="00CD6AA3"/>
    <w:rsid w:val="00CE1660"/>
    <w:rsid w:val="00CE5091"/>
    <w:rsid w:val="00CF356F"/>
    <w:rsid w:val="00CF3FCA"/>
    <w:rsid w:val="00CF4808"/>
    <w:rsid w:val="00CF5360"/>
    <w:rsid w:val="00CF5DE8"/>
    <w:rsid w:val="00CF5F0A"/>
    <w:rsid w:val="00CF7E69"/>
    <w:rsid w:val="00D00D53"/>
    <w:rsid w:val="00D0185B"/>
    <w:rsid w:val="00D03F46"/>
    <w:rsid w:val="00D05C7A"/>
    <w:rsid w:val="00D1089E"/>
    <w:rsid w:val="00D10946"/>
    <w:rsid w:val="00D11C1E"/>
    <w:rsid w:val="00D136B2"/>
    <w:rsid w:val="00D14C77"/>
    <w:rsid w:val="00D14ED4"/>
    <w:rsid w:val="00D14FB1"/>
    <w:rsid w:val="00D15102"/>
    <w:rsid w:val="00D161E2"/>
    <w:rsid w:val="00D177B7"/>
    <w:rsid w:val="00D178E4"/>
    <w:rsid w:val="00D21927"/>
    <w:rsid w:val="00D262E9"/>
    <w:rsid w:val="00D3427D"/>
    <w:rsid w:val="00D36BD7"/>
    <w:rsid w:val="00D5369A"/>
    <w:rsid w:val="00D60133"/>
    <w:rsid w:val="00D64C98"/>
    <w:rsid w:val="00D714DF"/>
    <w:rsid w:val="00D71EDE"/>
    <w:rsid w:val="00D8327A"/>
    <w:rsid w:val="00D876BE"/>
    <w:rsid w:val="00D911A2"/>
    <w:rsid w:val="00D933C6"/>
    <w:rsid w:val="00DA459E"/>
    <w:rsid w:val="00DC45A6"/>
    <w:rsid w:val="00DC63B0"/>
    <w:rsid w:val="00DC7DFA"/>
    <w:rsid w:val="00DD0E0E"/>
    <w:rsid w:val="00DD2B87"/>
    <w:rsid w:val="00DD33D1"/>
    <w:rsid w:val="00DD39AB"/>
    <w:rsid w:val="00DD3C55"/>
    <w:rsid w:val="00DD5A48"/>
    <w:rsid w:val="00DD625D"/>
    <w:rsid w:val="00DD6F49"/>
    <w:rsid w:val="00DE0322"/>
    <w:rsid w:val="00DE2B3A"/>
    <w:rsid w:val="00DE346D"/>
    <w:rsid w:val="00DE57D5"/>
    <w:rsid w:val="00DF0987"/>
    <w:rsid w:val="00DF2248"/>
    <w:rsid w:val="00DF5BD7"/>
    <w:rsid w:val="00E00170"/>
    <w:rsid w:val="00E01DD5"/>
    <w:rsid w:val="00E02CA7"/>
    <w:rsid w:val="00E02DFB"/>
    <w:rsid w:val="00E04967"/>
    <w:rsid w:val="00E16056"/>
    <w:rsid w:val="00E16318"/>
    <w:rsid w:val="00E22094"/>
    <w:rsid w:val="00E22E7B"/>
    <w:rsid w:val="00E245FC"/>
    <w:rsid w:val="00E409C4"/>
    <w:rsid w:val="00E4291B"/>
    <w:rsid w:val="00E42DD1"/>
    <w:rsid w:val="00E44492"/>
    <w:rsid w:val="00E45647"/>
    <w:rsid w:val="00E45E47"/>
    <w:rsid w:val="00E52889"/>
    <w:rsid w:val="00E56E35"/>
    <w:rsid w:val="00E600DD"/>
    <w:rsid w:val="00E62379"/>
    <w:rsid w:val="00E62987"/>
    <w:rsid w:val="00E631DB"/>
    <w:rsid w:val="00E644BF"/>
    <w:rsid w:val="00E716C7"/>
    <w:rsid w:val="00E93EBF"/>
    <w:rsid w:val="00EA0191"/>
    <w:rsid w:val="00EA09C2"/>
    <w:rsid w:val="00EA2D54"/>
    <w:rsid w:val="00EA463B"/>
    <w:rsid w:val="00EB5196"/>
    <w:rsid w:val="00EC02EC"/>
    <w:rsid w:val="00EC6A67"/>
    <w:rsid w:val="00ED1809"/>
    <w:rsid w:val="00ED2E0B"/>
    <w:rsid w:val="00ED33EA"/>
    <w:rsid w:val="00ED4E43"/>
    <w:rsid w:val="00ED5B09"/>
    <w:rsid w:val="00ED7AEF"/>
    <w:rsid w:val="00ED7BC0"/>
    <w:rsid w:val="00EE1E17"/>
    <w:rsid w:val="00EE2F28"/>
    <w:rsid w:val="00EE5F25"/>
    <w:rsid w:val="00EF50AB"/>
    <w:rsid w:val="00F03201"/>
    <w:rsid w:val="00F061AF"/>
    <w:rsid w:val="00F06ECF"/>
    <w:rsid w:val="00F1094B"/>
    <w:rsid w:val="00F15EE4"/>
    <w:rsid w:val="00F223CF"/>
    <w:rsid w:val="00F24E6F"/>
    <w:rsid w:val="00F265DD"/>
    <w:rsid w:val="00F31849"/>
    <w:rsid w:val="00F3248D"/>
    <w:rsid w:val="00F327EA"/>
    <w:rsid w:val="00F3417E"/>
    <w:rsid w:val="00F35290"/>
    <w:rsid w:val="00F3598F"/>
    <w:rsid w:val="00F3675F"/>
    <w:rsid w:val="00F437C0"/>
    <w:rsid w:val="00F44056"/>
    <w:rsid w:val="00F530E9"/>
    <w:rsid w:val="00F54835"/>
    <w:rsid w:val="00F57BE3"/>
    <w:rsid w:val="00F625A7"/>
    <w:rsid w:val="00F64731"/>
    <w:rsid w:val="00F7060C"/>
    <w:rsid w:val="00F72561"/>
    <w:rsid w:val="00F74ECF"/>
    <w:rsid w:val="00F87037"/>
    <w:rsid w:val="00F97E10"/>
    <w:rsid w:val="00FA26AF"/>
    <w:rsid w:val="00FA3F7A"/>
    <w:rsid w:val="00FA69B3"/>
    <w:rsid w:val="00FB0827"/>
    <w:rsid w:val="00FB2088"/>
    <w:rsid w:val="00FB3BB1"/>
    <w:rsid w:val="00FB5DD8"/>
    <w:rsid w:val="00FB6102"/>
    <w:rsid w:val="00FC290B"/>
    <w:rsid w:val="00FC4569"/>
    <w:rsid w:val="00FD5E62"/>
    <w:rsid w:val="00FE6718"/>
    <w:rsid w:val="00FF0081"/>
    <w:rsid w:val="00FF0F35"/>
    <w:rsid w:val="00FF56D9"/>
    <w:rsid w:val="00FF5B3C"/>
    <w:rsid w:val="00FF5EF9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DE3764CF-8BD5-443C-A38B-25EE1111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C76746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E04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043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4E043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CF4808"/>
    <w:rPr>
      <w:rFonts w:ascii="Calibri" w:eastAsia="Calibri" w:hAnsi="Calibri" w:cs="Times New Roman"/>
    </w:rPr>
  </w:style>
  <w:style w:type="paragraph" w:customStyle="1" w:styleId="Textbodyindent">
    <w:name w:val="Text body indent"/>
    <w:basedOn w:val="Normalny"/>
    <w:rsid w:val="00DD39AB"/>
    <w:pPr>
      <w:widowControl/>
      <w:suppressAutoHyphens/>
      <w:autoSpaceDN w:val="0"/>
      <w:ind w:left="284" w:hanging="284"/>
      <w:jc w:val="both"/>
      <w:textAlignment w:val="baseline"/>
    </w:pPr>
    <w:rPr>
      <w:rFonts w:ascii="Times New Roman" w:eastAsia="Times New Roman" w:hAnsi="Times New Roman"/>
      <w:kern w:val="3"/>
      <w:sz w:val="24"/>
      <w:szCs w:val="20"/>
      <w:lang w:val="en-US"/>
    </w:rPr>
  </w:style>
  <w:style w:type="numbering" w:customStyle="1" w:styleId="WWNum41">
    <w:name w:val="WWNum41"/>
    <w:basedOn w:val="Bezlisty"/>
    <w:rsid w:val="00DD39AB"/>
    <w:pPr>
      <w:numPr>
        <w:numId w:val="8"/>
      </w:numPr>
    </w:pPr>
  </w:style>
  <w:style w:type="paragraph" w:styleId="Tytu">
    <w:name w:val="Title"/>
    <w:basedOn w:val="Normalny"/>
    <w:link w:val="TytuZnak"/>
    <w:qFormat/>
    <w:rsid w:val="00DD39AB"/>
    <w:pPr>
      <w:widowControl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D39A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numbering" w:customStyle="1" w:styleId="WWNum43">
    <w:name w:val="WWNum43"/>
    <w:basedOn w:val="Bezlisty"/>
    <w:rsid w:val="00DD39AB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FC42DE-768C-4EF9-81C8-EA449614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1484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Katarzyna Kowalczyk</cp:lastModifiedBy>
  <cp:revision>15</cp:revision>
  <cp:lastPrinted>2021-11-17T13:22:00Z</cp:lastPrinted>
  <dcterms:created xsi:type="dcterms:W3CDTF">2021-11-18T12:59:00Z</dcterms:created>
  <dcterms:modified xsi:type="dcterms:W3CDTF">2021-11-18T13:01:00Z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