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D7483" w14:textId="77777777" w:rsidR="0061410F" w:rsidRPr="008E7004" w:rsidRDefault="0061410F" w:rsidP="0061410F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ar-SA"/>
        </w:rPr>
      </w:pPr>
      <w:r w:rsidRPr="008E7004">
        <w:rPr>
          <w:rFonts w:ascii="Garamond" w:eastAsia="Times New Roman" w:hAnsi="Garamond" w:cs="Times New Roman"/>
          <w:b/>
          <w:sz w:val="24"/>
          <w:szCs w:val="24"/>
          <w:lang w:eastAsia="ar-SA"/>
        </w:rPr>
        <w:t>Opis przedmiotu zamówienia</w:t>
      </w:r>
    </w:p>
    <w:p w14:paraId="31ABA20D" w14:textId="77777777" w:rsidR="00A30FFD" w:rsidRPr="008E7004" w:rsidRDefault="00A30FFD" w:rsidP="0061410F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ar-SA"/>
        </w:rPr>
      </w:pPr>
    </w:p>
    <w:p w14:paraId="2074AC1C" w14:textId="77777777" w:rsidR="00635A0D" w:rsidRPr="008E7004" w:rsidRDefault="00635A0D" w:rsidP="00635A0D">
      <w:pPr>
        <w:suppressAutoHyphens/>
        <w:spacing w:line="360" w:lineRule="auto"/>
        <w:jc w:val="center"/>
        <w:rPr>
          <w:rFonts w:ascii="Garamond" w:eastAsia="Times New Roman" w:hAnsi="Garamond"/>
          <w:b/>
          <w:sz w:val="24"/>
          <w:szCs w:val="24"/>
          <w:lang w:eastAsia="ar-SA"/>
        </w:rPr>
      </w:pPr>
      <w:r w:rsidRPr="008E7004">
        <w:rPr>
          <w:rFonts w:ascii="Garamond" w:eastAsia="Times New Roman" w:hAnsi="Garamond" w:cs="Times New Roman"/>
          <w:b/>
          <w:sz w:val="24"/>
          <w:szCs w:val="24"/>
          <w:lang w:eastAsia="ar-SA"/>
        </w:rPr>
        <w:t xml:space="preserve">Dostawa modułów do nieinwazyjnych pomiarów parametrów hemodynamicznych do </w:t>
      </w:r>
      <w:r w:rsidRPr="008E7004">
        <w:rPr>
          <w:rFonts w:ascii="Garamond" w:eastAsia="Times New Roman" w:hAnsi="Garamond"/>
          <w:b/>
          <w:sz w:val="24"/>
          <w:szCs w:val="24"/>
          <w:lang w:eastAsia="ar-SA"/>
        </w:rPr>
        <w:t xml:space="preserve">Nowej Siedziby Szpitala Uniwersyteckiego (NSSU) </w:t>
      </w:r>
      <w:r w:rsidR="00FE56AC" w:rsidRPr="008E7004">
        <w:rPr>
          <w:rFonts w:ascii="Garamond" w:eastAsia="Times New Roman" w:hAnsi="Garamond"/>
          <w:b/>
          <w:sz w:val="24"/>
          <w:szCs w:val="24"/>
          <w:lang w:eastAsia="ar-SA"/>
        </w:rPr>
        <w:t>wraz z </w:t>
      </w:r>
      <w:r w:rsidRPr="008E7004">
        <w:rPr>
          <w:rFonts w:ascii="Garamond" w:eastAsia="Times New Roman" w:hAnsi="Garamond"/>
          <w:b/>
          <w:sz w:val="24"/>
          <w:szCs w:val="24"/>
          <w:lang w:eastAsia="ar-SA"/>
        </w:rPr>
        <w:t xml:space="preserve">instalacją, uruchomieniem i szkoleniem personelu </w:t>
      </w:r>
    </w:p>
    <w:p w14:paraId="36FB6A6A" w14:textId="77777777" w:rsidR="0061410F" w:rsidRPr="008E7004" w:rsidRDefault="0061410F" w:rsidP="0061410F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  <w:lang w:eastAsia="ar-SA"/>
        </w:rPr>
      </w:pPr>
    </w:p>
    <w:p w14:paraId="662E3FD8" w14:textId="77777777" w:rsidR="0061410F" w:rsidRPr="008E7004" w:rsidRDefault="0061410F" w:rsidP="0061410F">
      <w:pPr>
        <w:suppressAutoHyphen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ar-SA"/>
        </w:rPr>
      </w:pPr>
    </w:p>
    <w:p w14:paraId="17542B6C" w14:textId="77777777" w:rsidR="0024694B" w:rsidRPr="008E7004" w:rsidRDefault="0024694B" w:rsidP="0024694B">
      <w:pPr>
        <w:suppressAutoHyphens/>
        <w:spacing w:line="360" w:lineRule="auto"/>
        <w:jc w:val="both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  <w:r w:rsidRPr="008E7004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Uwagi i objaśnienia:</w:t>
      </w:r>
    </w:p>
    <w:p w14:paraId="13127B92" w14:textId="77777777" w:rsidR="0024694B" w:rsidRPr="008E7004" w:rsidRDefault="0024694B" w:rsidP="0024694B">
      <w:pPr>
        <w:numPr>
          <w:ilvl w:val="0"/>
          <w:numId w:val="3"/>
        </w:numPr>
        <w:suppressAutoHyphens/>
        <w:autoSpaceDN w:val="0"/>
        <w:spacing w:after="120"/>
        <w:jc w:val="both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  <w:r w:rsidRPr="008E7004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14:paraId="471B3F65" w14:textId="77777777" w:rsidR="0024694B" w:rsidRPr="008E7004" w:rsidRDefault="0024694B" w:rsidP="0024694B">
      <w:pPr>
        <w:numPr>
          <w:ilvl w:val="0"/>
          <w:numId w:val="3"/>
        </w:numPr>
        <w:suppressAutoHyphens/>
        <w:autoSpaceDN w:val="0"/>
        <w:spacing w:after="120"/>
        <w:jc w:val="both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  <w:r w:rsidRPr="008E7004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Parametry o określonych warunkach liczbowych ( „=&gt;”  lub „&lt;=”, „min.” lub „max.”) są warunkami granicznymi, których niespełnienie spowoduje odrzucenie oferty.</w:t>
      </w:r>
    </w:p>
    <w:p w14:paraId="7B5BD7BC" w14:textId="77777777" w:rsidR="0024694B" w:rsidRPr="008E7004" w:rsidRDefault="0024694B" w:rsidP="0024694B">
      <w:pPr>
        <w:numPr>
          <w:ilvl w:val="0"/>
          <w:numId w:val="3"/>
        </w:numPr>
        <w:suppressAutoHyphens/>
        <w:autoSpaceDN w:val="0"/>
        <w:spacing w:after="120"/>
        <w:jc w:val="both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  <w:r w:rsidRPr="008E7004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Wartość podana przy w/w oznaczeniach oznacza wartość wymaganą.</w:t>
      </w:r>
    </w:p>
    <w:p w14:paraId="0D704388" w14:textId="77777777" w:rsidR="0024694B" w:rsidRPr="008E7004" w:rsidRDefault="0024694B" w:rsidP="0024694B">
      <w:pPr>
        <w:numPr>
          <w:ilvl w:val="0"/>
          <w:numId w:val="3"/>
        </w:numPr>
        <w:suppressAutoHyphens/>
        <w:autoSpaceDN w:val="0"/>
        <w:spacing w:after="120"/>
        <w:jc w:val="both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  <w:r w:rsidRPr="008E7004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W kolumnie „Lokalizacja potwierdzenia [str. oferty] w przypadku wyrażenia "nie dotyczy" potwierdzenie w materiałach firmowych nie jest konieczne, natomiast w pozostałych przypadkach wykonawca ma obowiązek w tej kolumnie wskazania, gdzie w materiałach firmowych znajduje się parametr zadeklarowany w kolumnie "parametr oferowany".</w:t>
      </w:r>
    </w:p>
    <w:p w14:paraId="26DB722E" w14:textId="77777777" w:rsidR="0024694B" w:rsidRPr="008E7004" w:rsidRDefault="0024694B" w:rsidP="0024694B">
      <w:pPr>
        <w:numPr>
          <w:ilvl w:val="0"/>
          <w:numId w:val="3"/>
        </w:numPr>
        <w:suppressAutoHyphens/>
        <w:autoSpaceDN w:val="0"/>
        <w:spacing w:after="120"/>
        <w:jc w:val="both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  <w:r w:rsidRPr="008E7004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Wykonawca zobowiązany jest do podania parametrów w jednostkach wskazanych w niniejszym opisie.</w:t>
      </w:r>
    </w:p>
    <w:p w14:paraId="4BB803E9" w14:textId="77777777" w:rsidR="0024694B" w:rsidRPr="008E7004" w:rsidRDefault="0024694B" w:rsidP="0024694B">
      <w:pPr>
        <w:numPr>
          <w:ilvl w:val="0"/>
          <w:numId w:val="3"/>
        </w:numPr>
        <w:suppressAutoHyphens/>
        <w:autoSpaceDN w:val="0"/>
        <w:spacing w:after="120"/>
        <w:jc w:val="both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  <w:r w:rsidRPr="008E7004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Wykonawca gwarantuje niniejszym, że sprzęt jest fabrycznie nowy (rok produkcji: nie wcześniej niż 2021), nieużywany, kompletny i do jego uruchomienia oraz stosowania zgodnie z przeznaczeniem nie jest konieczny zakup dodatkowych elementów i akcesoriów. Żaden aparat ani jego część składowa, wyposażenie, etc. nie jest sprzętem rekondycjonowanym, powystawowym i nie był wykorzystywany wcześniej przez innego użytkownika.</w:t>
      </w:r>
    </w:p>
    <w:p w14:paraId="6D7ADA22" w14:textId="77777777" w:rsidR="0024694B" w:rsidRPr="008E7004" w:rsidRDefault="0024694B" w:rsidP="0024694B">
      <w:pPr>
        <w:numPr>
          <w:ilvl w:val="0"/>
          <w:numId w:val="3"/>
        </w:numPr>
        <w:suppressAutoHyphens/>
        <w:autoSpaceDN w:val="0"/>
        <w:spacing w:after="120"/>
        <w:jc w:val="both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  <w:r w:rsidRPr="008E7004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Brak potwierdzenia w materiałach firmowych zakresu większego niż wymagany, pomimo jego wskazania w kolumnie „Parametr oferowany”, spowoduje nie przyznanie punktów za ten parametr.</w:t>
      </w:r>
    </w:p>
    <w:p w14:paraId="1D0F380D" w14:textId="77777777" w:rsidR="0061410F" w:rsidRPr="0024694B" w:rsidRDefault="0061410F" w:rsidP="0061410F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p w14:paraId="6BE5FB33" w14:textId="77777777" w:rsidR="00635A0D" w:rsidRDefault="00635A0D">
      <w:pPr>
        <w:rPr>
          <w:rFonts w:ascii="Garamond" w:eastAsia="Times New Roman" w:hAnsi="Garamond" w:cs="Times New Roman"/>
          <w:lang w:eastAsia="ar-SA"/>
        </w:rPr>
      </w:pPr>
      <w:r>
        <w:rPr>
          <w:rFonts w:ascii="Garamond" w:eastAsia="Times New Roman" w:hAnsi="Garamond" w:cs="Times New Roman"/>
          <w:lang w:eastAsia="ar-SA"/>
        </w:rPr>
        <w:br w:type="page"/>
      </w:r>
    </w:p>
    <w:p w14:paraId="70E2C15F" w14:textId="77777777" w:rsidR="00635A0D" w:rsidRDefault="00635A0D" w:rsidP="0061410F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tbl>
      <w:tblPr>
        <w:tblW w:w="13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1"/>
      </w:tblGrid>
      <w:tr w:rsidR="00635A0D" w:rsidRPr="00AE102A" w14:paraId="0465424E" w14:textId="77777777" w:rsidTr="008E7004">
        <w:trPr>
          <w:trHeight w:val="406"/>
          <w:jc w:val="center"/>
        </w:trPr>
        <w:tc>
          <w:tcPr>
            <w:tcW w:w="13041" w:type="dxa"/>
            <w:shd w:val="clear" w:color="auto" w:fill="D9D9D9"/>
            <w:vAlign w:val="center"/>
          </w:tcPr>
          <w:p w14:paraId="46213E71" w14:textId="77777777" w:rsidR="00635A0D" w:rsidRPr="00AE102A" w:rsidRDefault="00635A0D" w:rsidP="00A04FFA">
            <w:pPr>
              <w:suppressAutoHyphens/>
              <w:autoSpaceDN w:val="0"/>
              <w:spacing w:line="288" w:lineRule="auto"/>
              <w:jc w:val="center"/>
              <w:rPr>
                <w:rFonts w:ascii="Garamond" w:eastAsia="Times New Roman" w:hAnsi="Garamond"/>
                <w:b/>
                <w:kern w:val="3"/>
                <w:sz w:val="20"/>
                <w:szCs w:val="20"/>
                <w:lang w:eastAsia="zh-CN"/>
              </w:rPr>
            </w:pPr>
            <w:r w:rsidRPr="00AE102A">
              <w:rPr>
                <w:rFonts w:ascii="Garamond" w:eastAsia="Times New Roman" w:hAnsi="Garamond"/>
                <w:b/>
                <w:kern w:val="3"/>
                <w:sz w:val="20"/>
                <w:szCs w:val="20"/>
                <w:lang w:eastAsia="zh-CN"/>
              </w:rPr>
              <w:t>OPIS PRZEDMIOTU ZAMÓWIENIA</w:t>
            </w:r>
          </w:p>
        </w:tc>
      </w:tr>
      <w:tr w:rsidR="00635A0D" w:rsidRPr="00AE102A" w14:paraId="06845443" w14:textId="77777777" w:rsidTr="008E7004">
        <w:trPr>
          <w:trHeight w:val="643"/>
          <w:jc w:val="center"/>
        </w:trPr>
        <w:tc>
          <w:tcPr>
            <w:tcW w:w="13041" w:type="dxa"/>
            <w:shd w:val="clear" w:color="auto" w:fill="F2F2F2"/>
            <w:vAlign w:val="center"/>
          </w:tcPr>
          <w:p w14:paraId="3BAD683A" w14:textId="77777777" w:rsidR="00635A0D" w:rsidRPr="00AE102A" w:rsidRDefault="00635A0D" w:rsidP="00524109">
            <w:pPr>
              <w:suppressAutoHyphens/>
              <w:autoSpaceDN w:val="0"/>
              <w:spacing w:before="120" w:after="12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Garamond" w:eastAsia="Times New Roman" w:hAnsi="Garamond" w:cs="Times New Roman"/>
                <w:b/>
                <w:lang w:eastAsia="ar-SA"/>
              </w:rPr>
              <w:t xml:space="preserve">Moduły do nieinwazyjnych pomiarów parametrów hemodynamicznych </w:t>
            </w:r>
          </w:p>
        </w:tc>
      </w:tr>
    </w:tbl>
    <w:p w14:paraId="1DA143FE" w14:textId="77777777" w:rsidR="00635A0D" w:rsidRDefault="00635A0D" w:rsidP="0061410F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p w14:paraId="4EBA1CD9" w14:textId="77777777" w:rsidR="00635A0D" w:rsidRDefault="00635A0D" w:rsidP="0061410F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p w14:paraId="54F185CD" w14:textId="77777777" w:rsidR="00635A0D" w:rsidRPr="0024694B" w:rsidRDefault="00635A0D" w:rsidP="0061410F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2096"/>
        <w:gridCol w:w="1462"/>
        <w:gridCol w:w="1559"/>
        <w:gridCol w:w="1560"/>
        <w:gridCol w:w="1417"/>
        <w:gridCol w:w="992"/>
        <w:gridCol w:w="2410"/>
        <w:gridCol w:w="2410"/>
      </w:tblGrid>
      <w:tr w:rsidR="008E7FE9" w:rsidRPr="008E7FE9" w14:paraId="01BCD5A4" w14:textId="77777777" w:rsidTr="008E7FE9">
        <w:trPr>
          <w:trHeight w:val="5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0A6E290" w14:textId="77777777" w:rsidR="008E7FE9" w:rsidRPr="008E7004" w:rsidRDefault="008E7FE9" w:rsidP="008E7FE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  <w:lang w:eastAsia="ar-SA"/>
              </w:rPr>
            </w:pPr>
            <w:r w:rsidRPr="008E7004">
              <w:rPr>
                <w:rFonts w:ascii="Garamond" w:eastAsia="Times New Roman" w:hAnsi="Garamond" w:cs="Times New Roman"/>
                <w:b/>
                <w:sz w:val="20"/>
                <w:szCs w:val="20"/>
                <w:lang w:eastAsia="ar-SA"/>
              </w:rPr>
              <w:t xml:space="preserve">Lp.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4E8707" w14:textId="77777777" w:rsidR="008E7FE9" w:rsidRPr="008E7004" w:rsidRDefault="008E7FE9" w:rsidP="008E7FE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ar-SA"/>
              </w:rPr>
            </w:pPr>
            <w:r w:rsidRPr="008E7004">
              <w:rPr>
                <w:rFonts w:ascii="Garamond" w:eastAsia="Times New Roman" w:hAnsi="Garamond" w:cs="Times New Roman"/>
                <w:b/>
                <w:sz w:val="20"/>
                <w:szCs w:val="20"/>
                <w:lang w:eastAsia="ar-SA"/>
              </w:rPr>
              <w:t>Przedmiot zamówienia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9EF3C8" w14:textId="77777777" w:rsidR="008E7FE9" w:rsidRPr="008E7004" w:rsidRDefault="008E7FE9" w:rsidP="008E7FE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ar-SA"/>
              </w:rPr>
            </w:pPr>
            <w:r w:rsidRPr="008E7004">
              <w:rPr>
                <w:rFonts w:ascii="Garamond" w:eastAsia="Times New Roman" w:hAnsi="Garamond" w:cs="Times New Roman"/>
                <w:b/>
                <w:sz w:val="20"/>
                <w:szCs w:val="20"/>
                <w:lang w:eastAsia="ar-SA"/>
              </w:rPr>
              <w:t>Nazwa i typ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4FB0A23" w14:textId="77777777" w:rsidR="008E7FE9" w:rsidRPr="008E7004" w:rsidRDefault="008E7FE9" w:rsidP="008E7FE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ar-SA"/>
              </w:rPr>
            </w:pPr>
            <w:r w:rsidRPr="008E7004">
              <w:rPr>
                <w:rFonts w:ascii="Garamond" w:eastAsia="Times New Roman" w:hAnsi="Garamond" w:cs="Times New Roman"/>
                <w:b/>
                <w:sz w:val="20"/>
                <w:szCs w:val="20"/>
                <w:lang w:eastAsia="ar-SA"/>
              </w:rPr>
              <w:t>Producent / kraj produkcji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C0A951" w14:textId="77777777" w:rsidR="008E7FE9" w:rsidRPr="008E7004" w:rsidRDefault="008E7FE9" w:rsidP="008E7FE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ar-SA"/>
              </w:rPr>
            </w:pPr>
            <w:r w:rsidRPr="008E7004">
              <w:rPr>
                <w:rFonts w:ascii="Garamond" w:eastAsia="Times New Roman" w:hAnsi="Garamond" w:cs="Times New Roman"/>
                <w:b/>
                <w:sz w:val="20"/>
                <w:szCs w:val="20"/>
                <w:lang w:eastAsia="ar-SA"/>
              </w:rPr>
              <w:t>Rok produkcji (min. 2021)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32C8901" w14:textId="77777777" w:rsidR="008E7FE9" w:rsidRPr="008E7004" w:rsidRDefault="008E7FE9" w:rsidP="008E7FE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ar-SA"/>
              </w:rPr>
            </w:pPr>
            <w:r w:rsidRPr="008E7004">
              <w:rPr>
                <w:rFonts w:ascii="Garamond" w:eastAsia="Times New Roman" w:hAnsi="Garamond" w:cs="Times New Roman"/>
                <w:b/>
                <w:sz w:val="20"/>
                <w:szCs w:val="20"/>
                <w:lang w:eastAsia="ar-SA"/>
              </w:rPr>
              <w:t>Klasa wyrobu medycznego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E90B984" w14:textId="77777777" w:rsidR="008E7FE9" w:rsidRPr="008E7004" w:rsidRDefault="008E7FE9" w:rsidP="008E7FE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ar-SA"/>
              </w:rPr>
            </w:pPr>
            <w:r w:rsidRPr="008E7004">
              <w:rPr>
                <w:rFonts w:ascii="Garamond" w:eastAsia="Times New Roman" w:hAnsi="Garamond" w:cs="Times New Roman"/>
                <w:b/>
                <w:sz w:val="20"/>
                <w:szCs w:val="20"/>
                <w:lang w:eastAsia="ar-SA"/>
              </w:rPr>
              <w:t>Liczba sztuk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129C1BE" w14:textId="77777777" w:rsidR="008E7FE9" w:rsidRPr="008E7004" w:rsidRDefault="008E7FE9" w:rsidP="008E7FE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ar-SA"/>
              </w:rPr>
            </w:pPr>
            <w:r w:rsidRPr="008E7004">
              <w:rPr>
                <w:rFonts w:ascii="Garamond" w:eastAsia="Times New Roman" w:hAnsi="Garamond" w:cs="Times New Roman"/>
                <w:b/>
                <w:sz w:val="20"/>
                <w:szCs w:val="20"/>
                <w:lang w:eastAsia="ar-SA"/>
              </w:rPr>
              <w:t>Cena jednostkowa brutto</w:t>
            </w:r>
            <w:r w:rsidR="00484995">
              <w:rPr>
                <w:rFonts w:ascii="Garamond" w:eastAsia="Times New Roman" w:hAnsi="Garamond" w:cs="Times New Roman"/>
                <w:b/>
                <w:sz w:val="20"/>
                <w:szCs w:val="20"/>
                <w:lang w:eastAsia="ar-SA"/>
              </w:rPr>
              <w:t>#</w:t>
            </w:r>
            <w:r w:rsidRPr="008E7004">
              <w:rPr>
                <w:rFonts w:ascii="Garamond" w:eastAsia="Times New Roman" w:hAnsi="Garamond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  <w:p w14:paraId="39FA3FC2" w14:textId="77777777" w:rsidR="008E7FE9" w:rsidRPr="008E7004" w:rsidRDefault="008E7FE9" w:rsidP="008E7FE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ar-SA"/>
              </w:rPr>
            </w:pPr>
            <w:r w:rsidRPr="008E7004">
              <w:rPr>
                <w:rFonts w:ascii="Garamond" w:eastAsia="Times New Roman" w:hAnsi="Garamond" w:cs="Times New Roman"/>
                <w:b/>
                <w:sz w:val="20"/>
                <w:szCs w:val="20"/>
                <w:lang w:eastAsia="ar-SA"/>
              </w:rPr>
              <w:t>(</w:t>
            </w:r>
            <w:r w:rsidR="00D35B78">
              <w:rPr>
                <w:rFonts w:ascii="Garamond" w:eastAsia="Times New Roman" w:hAnsi="Garamond" w:cs="Times New Roman"/>
                <w:b/>
                <w:sz w:val="20"/>
                <w:szCs w:val="20"/>
                <w:lang w:eastAsia="ar-SA"/>
              </w:rPr>
              <w:t xml:space="preserve">urządzenie </w:t>
            </w:r>
            <w:r w:rsidRPr="008E7004">
              <w:rPr>
                <w:rFonts w:ascii="Garamond" w:eastAsia="Times New Roman" w:hAnsi="Garamond" w:cs="Times New Roman"/>
                <w:b/>
                <w:sz w:val="20"/>
                <w:szCs w:val="20"/>
                <w:lang w:eastAsia="ar-SA"/>
              </w:rPr>
              <w:t xml:space="preserve">wraz z instalacją, uruchomieniem i szkoleniem personelu) </w:t>
            </w:r>
          </w:p>
          <w:p w14:paraId="506CD5FC" w14:textId="77777777" w:rsidR="008E7FE9" w:rsidRPr="008E7004" w:rsidRDefault="008E7FE9" w:rsidP="008E7FE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ar-SA"/>
              </w:rPr>
            </w:pPr>
            <w:r w:rsidRPr="008E7004">
              <w:rPr>
                <w:rFonts w:ascii="Garamond" w:eastAsia="Times New Roman" w:hAnsi="Garamond" w:cs="Times New Roman"/>
                <w:b/>
                <w:sz w:val="20"/>
                <w:szCs w:val="20"/>
                <w:lang w:eastAsia="ar-SA"/>
              </w:rPr>
              <w:t>(w zł)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A5A080C" w14:textId="77777777" w:rsidR="008E7FE9" w:rsidRPr="008E7004" w:rsidRDefault="00160743" w:rsidP="008E7FE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ar-SA"/>
              </w:rPr>
              <w:t xml:space="preserve">Cena </w:t>
            </w:r>
            <w:r w:rsidR="008E7FE9" w:rsidRPr="008E7004">
              <w:rPr>
                <w:rFonts w:ascii="Garamond" w:eastAsia="Times New Roman" w:hAnsi="Garamond" w:cs="Times New Roman"/>
                <w:b/>
                <w:sz w:val="20"/>
                <w:szCs w:val="20"/>
                <w:lang w:eastAsia="ar-SA"/>
              </w:rPr>
              <w:t xml:space="preserve">brutto </w:t>
            </w:r>
            <w:r w:rsidR="00484995">
              <w:rPr>
                <w:rFonts w:ascii="Garamond" w:eastAsia="Times New Roman" w:hAnsi="Garamond" w:cs="Times New Roman"/>
                <w:b/>
                <w:sz w:val="20"/>
                <w:szCs w:val="20"/>
                <w:lang w:eastAsia="ar-SA"/>
              </w:rPr>
              <w:t>#</w:t>
            </w:r>
            <w:r w:rsidR="008E7FE9" w:rsidRPr="008E7004">
              <w:rPr>
                <w:rFonts w:ascii="Garamond" w:eastAsia="Times New Roman" w:hAnsi="Garamond" w:cs="Times New Roman"/>
                <w:b/>
                <w:sz w:val="20"/>
                <w:szCs w:val="20"/>
                <w:lang w:eastAsia="ar-SA"/>
              </w:rPr>
              <w:t xml:space="preserve">oferty </w:t>
            </w:r>
          </w:p>
          <w:p w14:paraId="6AF3BCF4" w14:textId="77777777" w:rsidR="008E7FE9" w:rsidRPr="008E7004" w:rsidRDefault="008E7FE9" w:rsidP="008E7FE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ar-SA"/>
              </w:rPr>
            </w:pPr>
            <w:r w:rsidRPr="008E7004">
              <w:rPr>
                <w:rFonts w:ascii="Garamond" w:eastAsia="Times New Roman" w:hAnsi="Garamond" w:cs="Times New Roman"/>
                <w:b/>
                <w:sz w:val="20"/>
                <w:szCs w:val="20"/>
                <w:lang w:eastAsia="ar-SA"/>
              </w:rPr>
              <w:t>(urządzenia wraz z instalacją, uruchomieniem i szkoleniem personelu)</w:t>
            </w:r>
          </w:p>
          <w:p w14:paraId="23A4BB94" w14:textId="77777777" w:rsidR="008E7FE9" w:rsidRPr="008E7004" w:rsidRDefault="008E7FE9" w:rsidP="008E7FE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ar-SA"/>
              </w:rPr>
            </w:pPr>
            <w:r w:rsidRPr="008E7004">
              <w:rPr>
                <w:rFonts w:ascii="Garamond" w:eastAsia="Times New Roman" w:hAnsi="Garamond" w:cs="Times New Roman"/>
                <w:b/>
                <w:sz w:val="20"/>
                <w:szCs w:val="20"/>
                <w:lang w:eastAsia="ar-SA"/>
              </w:rPr>
              <w:t>(w zł)</w:t>
            </w:r>
          </w:p>
        </w:tc>
      </w:tr>
      <w:tr w:rsidR="008E7FE9" w:rsidRPr="008E7FE9" w14:paraId="3C135FFE" w14:textId="77777777" w:rsidTr="008E7FE9">
        <w:trPr>
          <w:trHeight w:val="64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45CA2E2" w14:textId="77777777" w:rsidR="008E7FE9" w:rsidRPr="008E7004" w:rsidRDefault="008E7FE9" w:rsidP="008E7FE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  <w:r w:rsidRPr="008E7004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0E19BAF" w14:textId="77777777" w:rsidR="008E7FE9" w:rsidRPr="008E7004" w:rsidRDefault="008E7FE9" w:rsidP="008E7FE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  <w:r w:rsidRPr="008E7004">
              <w:rPr>
                <w:rFonts w:ascii="Garamond" w:eastAsia="Times New Roman" w:hAnsi="Garamond" w:cs="Times New Roman"/>
                <w:b/>
                <w:sz w:val="20"/>
                <w:szCs w:val="20"/>
                <w:lang w:eastAsia="ar-SA"/>
              </w:rPr>
              <w:t>Moduły do nieinwazyjnych pomiarów parametrów hemodynamicznych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6269" w14:textId="77777777" w:rsidR="008E7FE9" w:rsidRPr="008E7004" w:rsidRDefault="008E7FE9" w:rsidP="008E7FE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4E2E" w14:textId="77777777" w:rsidR="008E7FE9" w:rsidRPr="008E7004" w:rsidRDefault="008E7FE9" w:rsidP="008E7FE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141B" w14:textId="77777777" w:rsidR="008E7FE9" w:rsidRPr="008E7004" w:rsidRDefault="008E7FE9" w:rsidP="008E7FE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F7AB" w14:textId="77777777" w:rsidR="008E7FE9" w:rsidRPr="008E7004" w:rsidRDefault="008E7FE9" w:rsidP="008E7FE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EFB4D3C" w14:textId="77777777" w:rsidR="008E7FE9" w:rsidRPr="008E7004" w:rsidRDefault="008E7FE9" w:rsidP="008E7FE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ar-SA"/>
              </w:rPr>
            </w:pPr>
            <w:r w:rsidRPr="008E7004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E936" w14:textId="77777777" w:rsidR="008E7FE9" w:rsidRPr="008E7004" w:rsidRDefault="008E7FE9" w:rsidP="008E7FE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A478" w14:textId="77777777" w:rsidR="008E7FE9" w:rsidRPr="008E7004" w:rsidRDefault="008E7FE9" w:rsidP="008E7FE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</w:p>
        </w:tc>
      </w:tr>
    </w:tbl>
    <w:p w14:paraId="4E56694A" w14:textId="77777777" w:rsidR="00A30FFD" w:rsidRPr="00484995" w:rsidRDefault="00484995" w:rsidP="00484995">
      <w:pPr>
        <w:rPr>
          <w:rFonts w:ascii="Garamond" w:eastAsia="Times New Roman" w:hAnsi="Garamond" w:cs="Times New Roman"/>
          <w:sz w:val="16"/>
          <w:szCs w:val="16"/>
          <w:lang w:eastAsia="ar-SA"/>
        </w:rPr>
      </w:pPr>
      <w:r w:rsidRPr="00484995">
        <w:rPr>
          <w:rFonts w:ascii="Garamond" w:eastAsia="Times New Roman" w:hAnsi="Garamond" w:cs="Times New Roman"/>
          <w:sz w:val="16"/>
          <w:szCs w:val="16"/>
          <w:lang w:eastAsia="ar-SA"/>
        </w:rPr>
        <w:t xml:space="preserve"> # jeżeli wybór oferty będzie prowadził do powstania u Zamawiającego obowiązku podatkowego, zgodnie z przepisami o podatku od towarów i usług, należy podać cenę netto.</w:t>
      </w:r>
    </w:p>
    <w:p w14:paraId="641229CD" w14:textId="77777777" w:rsidR="0061410F" w:rsidRPr="0024694B" w:rsidRDefault="0061410F" w:rsidP="00F1470B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24694B">
        <w:rPr>
          <w:rFonts w:ascii="Garamond" w:eastAsia="Times New Roman" w:hAnsi="Garamond" w:cs="Times New Roman"/>
          <w:b/>
          <w:lang w:eastAsia="ar-SA"/>
        </w:rPr>
        <w:t>PARAMETRY TECHNICZNE I EKSPLOATACYJNE</w:t>
      </w:r>
    </w:p>
    <w:p w14:paraId="27DA8939" w14:textId="77777777" w:rsidR="00A30FFD" w:rsidRPr="0024694B" w:rsidRDefault="00A30FFD" w:rsidP="0061410F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tbl>
      <w:tblPr>
        <w:tblW w:w="14609" w:type="dxa"/>
        <w:tblInd w:w="-1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6662"/>
        <w:gridCol w:w="1690"/>
        <w:gridCol w:w="2137"/>
        <w:gridCol w:w="1701"/>
        <w:gridCol w:w="1843"/>
      </w:tblGrid>
      <w:tr w:rsidR="0024694B" w:rsidRPr="00635A0D" w14:paraId="06E2D1B0" w14:textId="77777777" w:rsidTr="008E700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5CF0AD4" w14:textId="77777777" w:rsidR="0024694B" w:rsidRPr="00FE56AC" w:rsidRDefault="0024694B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lang w:eastAsia="ar-SA"/>
              </w:rPr>
            </w:pPr>
            <w:r w:rsidRPr="00FE56AC">
              <w:rPr>
                <w:rFonts w:ascii="Garamond" w:eastAsia="Times New Roman" w:hAnsi="Garamond" w:cs="Times New Roman"/>
                <w:b/>
                <w:bCs/>
                <w:sz w:val="20"/>
                <w:lang w:eastAsia="ar-SA"/>
              </w:rPr>
              <w:t>LP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2DF268D" w14:textId="77777777" w:rsidR="0024694B" w:rsidRPr="00FE56AC" w:rsidRDefault="0024694B" w:rsidP="0061410F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720" w:hanging="720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sz w:val="20"/>
                <w:lang w:eastAsia="ar-SA"/>
              </w:rPr>
            </w:pPr>
            <w:r w:rsidRPr="00FE56AC">
              <w:rPr>
                <w:rFonts w:ascii="Garamond" w:eastAsia="Times New Roman" w:hAnsi="Garamond" w:cs="Times New Roman"/>
                <w:b/>
                <w:bCs/>
                <w:sz w:val="20"/>
                <w:lang w:eastAsia="ar-SA"/>
              </w:rPr>
              <w:t>PARAMETR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5D6F09F" w14:textId="77777777" w:rsidR="0024694B" w:rsidRPr="00FE56AC" w:rsidRDefault="0024694B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lang w:eastAsia="ar-SA"/>
              </w:rPr>
            </w:pPr>
            <w:r w:rsidRPr="00FE56AC">
              <w:rPr>
                <w:rFonts w:ascii="Garamond" w:eastAsia="Times New Roman" w:hAnsi="Garamond" w:cs="Times New Roman"/>
                <w:b/>
                <w:bCs/>
                <w:sz w:val="20"/>
                <w:lang w:eastAsia="ar-SA"/>
              </w:rPr>
              <w:t>PARAMETR WYMAGANY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1D9F846" w14:textId="77777777" w:rsidR="0024694B" w:rsidRPr="00FE56AC" w:rsidRDefault="0024694B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lang w:eastAsia="ar-SA"/>
              </w:rPr>
            </w:pPr>
            <w:r w:rsidRPr="00FE56AC">
              <w:rPr>
                <w:rFonts w:ascii="Garamond" w:eastAsia="Times New Roman" w:hAnsi="Garamond" w:cs="Times New Roman"/>
                <w:b/>
                <w:bCs/>
                <w:sz w:val="20"/>
                <w:lang w:eastAsia="ar-SA"/>
              </w:rPr>
              <w:t>PARAMETR OFEROWANY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21680A7" w14:textId="77777777" w:rsidR="0024694B" w:rsidRPr="00FE56AC" w:rsidRDefault="00A0463A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lang w:eastAsia="ar-SA"/>
              </w:rPr>
            </w:pPr>
            <w:r w:rsidRPr="00FE56AC">
              <w:rPr>
                <w:rFonts w:ascii="Garamond" w:eastAsia="Lucida Sans Unicode" w:hAnsi="Garamond"/>
                <w:b/>
                <w:kern w:val="3"/>
                <w:sz w:val="20"/>
                <w:lang w:eastAsia="zh-CN" w:bidi="hi-IN"/>
              </w:rPr>
              <w:t>LOKALIZACJA POTWIERDZENIA [STR OFERTY]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4525DBD" w14:textId="77777777" w:rsidR="0024694B" w:rsidRPr="00FE56AC" w:rsidRDefault="0024694B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lang w:eastAsia="ar-SA"/>
              </w:rPr>
            </w:pPr>
            <w:r w:rsidRPr="00FE56AC">
              <w:rPr>
                <w:rFonts w:ascii="Garamond" w:eastAsia="Times New Roman" w:hAnsi="Garamond" w:cs="Times New Roman"/>
                <w:b/>
                <w:bCs/>
                <w:sz w:val="20"/>
                <w:lang w:eastAsia="ar-SA"/>
              </w:rPr>
              <w:t>SPOSÓB OCENY</w:t>
            </w:r>
          </w:p>
        </w:tc>
      </w:tr>
      <w:tr w:rsidR="00635A0D" w:rsidRPr="00635A0D" w14:paraId="104D16A4" w14:textId="77777777" w:rsidTr="008E7004">
        <w:trPr>
          <w:trHeight w:val="371"/>
        </w:trPr>
        <w:tc>
          <w:tcPr>
            <w:tcW w:w="146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692FEFD" w14:textId="77777777" w:rsidR="00635A0D" w:rsidRPr="008E7004" w:rsidRDefault="00635A0D" w:rsidP="008E7004">
            <w:pPr>
              <w:pStyle w:val="Nagwek1"/>
              <w:spacing w:before="120" w:after="120"/>
              <w:rPr>
                <w:rFonts w:ascii="Garamond" w:hAnsi="Garamond"/>
                <w:bCs/>
                <w:szCs w:val="22"/>
              </w:rPr>
            </w:pPr>
            <w:r w:rsidRPr="008E7004">
              <w:rPr>
                <w:rFonts w:ascii="Garamond" w:hAnsi="Garamond"/>
                <w:bCs/>
                <w:szCs w:val="22"/>
              </w:rPr>
              <w:t>Urządzenie do pomiaru rzutu serca metodą nieinwazyjną</w:t>
            </w:r>
          </w:p>
        </w:tc>
      </w:tr>
      <w:tr w:rsidR="00635A0D" w:rsidRPr="00635A0D" w14:paraId="0B70203F" w14:textId="77777777" w:rsidTr="009461A9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6A462D" w14:textId="77777777" w:rsidR="00635A0D" w:rsidRPr="00FE56AC" w:rsidRDefault="00635A0D" w:rsidP="00635A0D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1319D2" w14:textId="77777777" w:rsidR="00635A0D" w:rsidRPr="00FE56AC" w:rsidRDefault="00635A0D" w:rsidP="00A81A75">
            <w:pPr>
              <w:pStyle w:val="Default"/>
              <w:spacing w:before="120" w:line="360" w:lineRule="auto"/>
              <w:rPr>
                <w:rFonts w:ascii="Garamond" w:hAnsi="Garamond" w:cs="Times New Roman"/>
                <w:sz w:val="20"/>
                <w:szCs w:val="22"/>
              </w:rPr>
            </w:pPr>
            <w:r w:rsidRPr="00FE56AC">
              <w:rPr>
                <w:rFonts w:ascii="Garamond" w:hAnsi="Garamond" w:cs="Times New Roman"/>
                <w:sz w:val="20"/>
                <w:szCs w:val="22"/>
              </w:rPr>
              <w:t>Urządzenie do pomiarów hemodynamicznych wykorzystujące zaawansowaną technologię ciągłego nieinwazyjnego pomiaru ciśnienia w tętnicy ramiennej na podstawie krzywej ciśnienia tętniczego w palcu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D24F4E" w14:textId="77777777" w:rsidR="00635A0D" w:rsidRPr="00FE56AC" w:rsidRDefault="00635A0D" w:rsidP="00635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sz w:val="20"/>
                <w:lang w:eastAsia="ar-SA"/>
              </w:rPr>
            </w:pPr>
            <w:r w:rsidRPr="00FE56AC">
              <w:rPr>
                <w:rFonts w:ascii="Garamond" w:eastAsia="Times New Roman" w:hAnsi="Garamond" w:cs="Times New Roman"/>
                <w:sz w:val="20"/>
                <w:lang w:eastAsia="ar-SA"/>
              </w:rPr>
              <w:t>Tak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3917C8" w14:textId="77777777" w:rsidR="00635A0D" w:rsidRPr="00FE56AC" w:rsidRDefault="00635A0D" w:rsidP="00635A0D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sz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2598D" w14:textId="77777777" w:rsidR="00635A0D" w:rsidRPr="00FE56AC" w:rsidRDefault="00635A0D" w:rsidP="00635A0D">
            <w:pPr>
              <w:suppressAutoHyphens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sz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266D8" w14:textId="77777777" w:rsidR="00635A0D" w:rsidRPr="00FE56AC" w:rsidRDefault="00635A0D" w:rsidP="00635A0D">
            <w:pPr>
              <w:suppressAutoHyphens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sz w:val="20"/>
                <w:lang w:eastAsia="ar-SA"/>
              </w:rPr>
            </w:pPr>
            <w:r w:rsidRPr="00FE56AC">
              <w:rPr>
                <w:rFonts w:ascii="Garamond" w:eastAsia="Times New Roman" w:hAnsi="Garamond" w:cs="Times New Roman"/>
                <w:sz w:val="20"/>
                <w:lang w:eastAsia="ar-SA"/>
              </w:rPr>
              <w:t>---</w:t>
            </w:r>
          </w:p>
        </w:tc>
      </w:tr>
      <w:tr w:rsidR="00E26419" w:rsidRPr="00635A0D" w14:paraId="0518A2D1" w14:textId="77777777" w:rsidTr="009461A9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91D811" w14:textId="77777777" w:rsidR="00E26419" w:rsidRPr="00FE56AC" w:rsidRDefault="00E26419" w:rsidP="00635A0D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1AF371" w14:textId="77777777" w:rsidR="00E26419" w:rsidRPr="00FE56AC" w:rsidRDefault="00E26419" w:rsidP="00A81A75">
            <w:pPr>
              <w:pStyle w:val="Default"/>
              <w:spacing w:before="120" w:line="360" w:lineRule="auto"/>
              <w:rPr>
                <w:rFonts w:ascii="Garamond" w:hAnsi="Garamond" w:cs="Times New Roman"/>
                <w:sz w:val="20"/>
                <w:szCs w:val="22"/>
              </w:rPr>
            </w:pPr>
            <w:r w:rsidRPr="00E26419">
              <w:rPr>
                <w:rFonts w:ascii="Garamond" w:hAnsi="Garamond" w:cs="Times New Roman"/>
                <w:sz w:val="20"/>
                <w:szCs w:val="22"/>
              </w:rPr>
              <w:t xml:space="preserve">Czujnik referencyjnej wysokości serca uwzględniający różnice w ciśnieniu pomiędzy palcem a sercem. Czujnik kompensuje zmiany ciśnienia hydrostatycznego </w:t>
            </w:r>
            <w:r w:rsidRPr="00E26419">
              <w:rPr>
                <w:rFonts w:ascii="Garamond" w:hAnsi="Garamond" w:cs="Times New Roman"/>
                <w:sz w:val="20"/>
                <w:szCs w:val="22"/>
              </w:rPr>
              <w:lastRenderedPageBreak/>
              <w:t>wynikające z różnicy wysokości pomiędzy palcem a sercem.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FA2C23" w14:textId="77777777" w:rsidR="00E26419" w:rsidRPr="00FE56AC" w:rsidRDefault="00E26419" w:rsidP="00E264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sz w:val="20"/>
                <w:lang w:eastAsia="ar-SA"/>
              </w:rPr>
            </w:pPr>
            <w:r w:rsidRPr="00E26419">
              <w:rPr>
                <w:rFonts w:ascii="Garamond" w:eastAsia="Times New Roman" w:hAnsi="Garamond" w:cs="Times New Roman"/>
                <w:sz w:val="20"/>
                <w:lang w:eastAsia="ar-SA"/>
              </w:rPr>
              <w:lastRenderedPageBreak/>
              <w:t>Tak/ Nie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7C1EBE" w14:textId="77777777" w:rsidR="00E26419" w:rsidRPr="00FE56AC" w:rsidRDefault="00E26419" w:rsidP="00635A0D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sz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44BAC" w14:textId="77777777" w:rsidR="00E26419" w:rsidRPr="00FE56AC" w:rsidRDefault="00A81A75" w:rsidP="00635A0D">
            <w:pPr>
              <w:suppressAutoHyphens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sz w:val="20"/>
                <w:lang w:eastAsia="ar-SA"/>
              </w:rPr>
            </w:pPr>
            <w:r w:rsidRPr="00FE56AC">
              <w:rPr>
                <w:rFonts w:ascii="Garamond" w:eastAsia="Times New Roman" w:hAnsi="Garamond" w:cs="Times New Roman"/>
                <w:sz w:val="20"/>
                <w:lang w:eastAsia="ar-SA"/>
              </w:rPr>
              <w:t>Nie dotyczy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7C77F" w14:textId="77777777" w:rsidR="00E26419" w:rsidRPr="00E26419" w:rsidRDefault="00E26419" w:rsidP="00E26419">
            <w:pPr>
              <w:suppressAutoHyphens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sz w:val="20"/>
                <w:lang w:eastAsia="ar-SA"/>
              </w:rPr>
            </w:pPr>
            <w:r w:rsidRPr="00E26419">
              <w:rPr>
                <w:rFonts w:ascii="Garamond" w:eastAsia="Times New Roman" w:hAnsi="Garamond" w:cs="Times New Roman"/>
                <w:sz w:val="20"/>
                <w:lang w:eastAsia="ar-SA"/>
              </w:rPr>
              <w:t>Tak</w:t>
            </w:r>
            <w:r w:rsidR="00A81A75">
              <w:rPr>
                <w:rFonts w:ascii="Garamond" w:eastAsia="Times New Roman" w:hAnsi="Garamond" w:cs="Times New Roman"/>
                <w:sz w:val="20"/>
                <w:lang w:eastAsia="ar-SA"/>
              </w:rPr>
              <w:t xml:space="preserve"> </w:t>
            </w:r>
            <w:r w:rsidRPr="00E26419">
              <w:rPr>
                <w:rFonts w:ascii="Garamond" w:eastAsia="Times New Roman" w:hAnsi="Garamond" w:cs="Times New Roman"/>
                <w:sz w:val="20"/>
                <w:lang w:eastAsia="ar-SA"/>
              </w:rPr>
              <w:t>- 1 pkt</w:t>
            </w:r>
          </w:p>
          <w:p w14:paraId="4B3D2DF3" w14:textId="77777777" w:rsidR="00E26419" w:rsidRPr="00FE56AC" w:rsidRDefault="00E26419" w:rsidP="00E26419">
            <w:pPr>
              <w:suppressAutoHyphens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sz w:val="20"/>
                <w:lang w:eastAsia="ar-SA"/>
              </w:rPr>
            </w:pPr>
            <w:r w:rsidRPr="00E26419">
              <w:rPr>
                <w:rFonts w:ascii="Garamond" w:eastAsia="Times New Roman" w:hAnsi="Garamond" w:cs="Times New Roman"/>
                <w:sz w:val="20"/>
                <w:lang w:eastAsia="ar-SA"/>
              </w:rPr>
              <w:t>Nie – 0 pkt</w:t>
            </w:r>
          </w:p>
        </w:tc>
      </w:tr>
      <w:tr w:rsidR="00E26419" w:rsidRPr="00635A0D" w14:paraId="64191CED" w14:textId="77777777" w:rsidTr="009461A9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2ACFBE" w14:textId="77777777" w:rsidR="00E26419" w:rsidRPr="00FE56AC" w:rsidRDefault="00E26419" w:rsidP="00635A0D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707F1F" w14:textId="77777777" w:rsidR="00E26419" w:rsidRPr="00E26419" w:rsidRDefault="00E26419" w:rsidP="00A81A75">
            <w:pPr>
              <w:pStyle w:val="Default"/>
              <w:spacing w:before="120" w:line="360" w:lineRule="auto"/>
              <w:rPr>
                <w:rFonts w:ascii="Garamond" w:hAnsi="Garamond" w:cs="Times New Roman"/>
                <w:sz w:val="20"/>
                <w:szCs w:val="22"/>
              </w:rPr>
            </w:pPr>
            <w:r w:rsidRPr="00E26419">
              <w:rPr>
                <w:rFonts w:ascii="Garamond" w:hAnsi="Garamond" w:cs="Times New Roman"/>
                <w:sz w:val="20"/>
                <w:szCs w:val="22"/>
              </w:rPr>
              <w:t>W przypadku okresów monitorowania przekraczających 8 godzin system umożliwia równoczesne podłączenie dwóch  mankietów na palec, znajdujących się na różnych palcach.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C98C9A" w14:textId="77777777" w:rsidR="00E26419" w:rsidRPr="00E26419" w:rsidRDefault="00E26419" w:rsidP="00E264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sz w:val="20"/>
                <w:lang w:eastAsia="ar-SA"/>
              </w:rPr>
            </w:pPr>
            <w:r w:rsidRPr="00E26419">
              <w:rPr>
                <w:rFonts w:ascii="Garamond" w:eastAsia="Times New Roman" w:hAnsi="Garamond" w:cs="Times New Roman"/>
                <w:sz w:val="20"/>
                <w:lang w:eastAsia="ar-SA"/>
              </w:rPr>
              <w:t>Tak/ Nie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23963C" w14:textId="77777777" w:rsidR="00E26419" w:rsidRPr="00FE56AC" w:rsidRDefault="00E26419" w:rsidP="00635A0D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sz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74EAC" w14:textId="77777777" w:rsidR="00E26419" w:rsidRPr="00FE56AC" w:rsidRDefault="00A81A75" w:rsidP="00635A0D">
            <w:pPr>
              <w:suppressAutoHyphens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sz w:val="20"/>
                <w:lang w:eastAsia="ar-SA"/>
              </w:rPr>
            </w:pPr>
            <w:r w:rsidRPr="00FE56AC">
              <w:rPr>
                <w:rFonts w:ascii="Garamond" w:eastAsia="Times New Roman" w:hAnsi="Garamond" w:cs="Times New Roman"/>
                <w:sz w:val="20"/>
                <w:lang w:eastAsia="ar-SA"/>
              </w:rPr>
              <w:t>Nie dotyczy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1CBEA" w14:textId="77777777" w:rsidR="00E26419" w:rsidRPr="00E26419" w:rsidRDefault="00E26419" w:rsidP="00E26419">
            <w:pPr>
              <w:suppressAutoHyphens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sz w:val="20"/>
                <w:lang w:eastAsia="ar-SA"/>
              </w:rPr>
            </w:pPr>
            <w:r w:rsidRPr="00E26419">
              <w:rPr>
                <w:rFonts w:ascii="Garamond" w:eastAsia="Times New Roman" w:hAnsi="Garamond" w:cs="Times New Roman"/>
                <w:sz w:val="20"/>
                <w:lang w:eastAsia="ar-SA"/>
              </w:rPr>
              <w:t>Tak</w:t>
            </w:r>
            <w:r w:rsidR="00A81A75">
              <w:rPr>
                <w:rFonts w:ascii="Garamond" w:eastAsia="Times New Roman" w:hAnsi="Garamond" w:cs="Times New Roman"/>
                <w:sz w:val="20"/>
                <w:lang w:eastAsia="ar-SA"/>
              </w:rPr>
              <w:t xml:space="preserve"> </w:t>
            </w:r>
            <w:r w:rsidRPr="00E26419">
              <w:rPr>
                <w:rFonts w:ascii="Garamond" w:eastAsia="Times New Roman" w:hAnsi="Garamond" w:cs="Times New Roman"/>
                <w:sz w:val="20"/>
                <w:lang w:eastAsia="ar-SA"/>
              </w:rPr>
              <w:t>- 1 pkt</w:t>
            </w:r>
          </w:p>
          <w:p w14:paraId="0318A907" w14:textId="77777777" w:rsidR="00E26419" w:rsidRPr="00E26419" w:rsidRDefault="00E26419" w:rsidP="00E26419">
            <w:pPr>
              <w:suppressAutoHyphens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sz w:val="20"/>
                <w:lang w:eastAsia="ar-SA"/>
              </w:rPr>
            </w:pPr>
            <w:r w:rsidRPr="00E26419">
              <w:rPr>
                <w:rFonts w:ascii="Garamond" w:eastAsia="Times New Roman" w:hAnsi="Garamond" w:cs="Times New Roman"/>
                <w:sz w:val="20"/>
                <w:lang w:eastAsia="ar-SA"/>
              </w:rPr>
              <w:t>Nie – 0 pkt</w:t>
            </w:r>
          </w:p>
        </w:tc>
      </w:tr>
      <w:tr w:rsidR="00635A0D" w:rsidRPr="00635A0D" w14:paraId="49F20A66" w14:textId="77777777" w:rsidTr="009461A9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779075" w14:textId="77777777" w:rsidR="00635A0D" w:rsidRPr="00FE56AC" w:rsidRDefault="00635A0D" w:rsidP="00635A0D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Cs/>
                <w:sz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EDB99D" w14:textId="77777777" w:rsidR="00635A0D" w:rsidRPr="00FE56AC" w:rsidRDefault="00635A0D" w:rsidP="00A81A75">
            <w:pPr>
              <w:pStyle w:val="Default"/>
              <w:spacing w:before="120" w:line="360" w:lineRule="auto"/>
              <w:rPr>
                <w:rFonts w:ascii="Garamond" w:hAnsi="Garamond" w:cs="Times New Roman"/>
                <w:sz w:val="20"/>
                <w:szCs w:val="22"/>
              </w:rPr>
            </w:pPr>
            <w:r w:rsidRPr="00FE56AC">
              <w:rPr>
                <w:rFonts w:ascii="Garamond" w:hAnsi="Garamond" w:cs="Times New Roman"/>
                <w:sz w:val="20"/>
                <w:szCs w:val="22"/>
              </w:rPr>
              <w:t>Urządzenie kompatybilne z monitorem Hemosphere</w:t>
            </w:r>
            <w:r w:rsidR="00E26419">
              <w:rPr>
                <w:rFonts w:ascii="Garamond" w:hAnsi="Garamond" w:cs="Times New Roman"/>
                <w:sz w:val="20"/>
                <w:szCs w:val="22"/>
              </w:rPr>
              <w:t xml:space="preserve">. </w:t>
            </w:r>
            <w:r w:rsidR="00E26419" w:rsidRPr="00E26419">
              <w:rPr>
                <w:rFonts w:ascii="Garamond" w:hAnsi="Garamond" w:cs="Times New Roman"/>
                <w:sz w:val="20"/>
                <w:szCs w:val="22"/>
              </w:rPr>
              <w:t>Kompatybilność oznacza, że oferowane  urządzenie pozwala na podłączen</w:t>
            </w:r>
            <w:r w:rsidR="00064AB0">
              <w:rPr>
                <w:rFonts w:ascii="Garamond" w:hAnsi="Garamond" w:cs="Times New Roman"/>
                <w:sz w:val="20"/>
                <w:szCs w:val="22"/>
              </w:rPr>
              <w:t>ie go do monitora Hemosphere, a </w:t>
            </w:r>
            <w:r w:rsidR="00E26419" w:rsidRPr="00E26419">
              <w:rPr>
                <w:rFonts w:ascii="Garamond" w:hAnsi="Garamond" w:cs="Times New Roman"/>
                <w:sz w:val="20"/>
                <w:szCs w:val="22"/>
              </w:rPr>
              <w:t>pomiary uzyskiwane przy jego użyciu są wyświetlane na ekranie tego monitora.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F67F18" w14:textId="77777777" w:rsidR="00635A0D" w:rsidRPr="00FE56AC" w:rsidRDefault="00635A0D" w:rsidP="00635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sz w:val="20"/>
                <w:lang w:eastAsia="ar-SA"/>
              </w:rPr>
            </w:pPr>
            <w:r w:rsidRPr="00FE56AC">
              <w:rPr>
                <w:rFonts w:ascii="Garamond" w:eastAsia="Times New Roman" w:hAnsi="Garamond" w:cs="Times New Roman"/>
                <w:sz w:val="20"/>
                <w:lang w:eastAsia="ar-SA"/>
              </w:rPr>
              <w:t>Tak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76AB5E" w14:textId="77777777" w:rsidR="00635A0D" w:rsidRPr="00FE56AC" w:rsidRDefault="00635A0D" w:rsidP="00635A0D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sz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8DAFC" w14:textId="77777777" w:rsidR="00635A0D" w:rsidRPr="00FE56AC" w:rsidRDefault="00635A0D" w:rsidP="00635A0D">
            <w:pPr>
              <w:spacing w:before="120" w:after="120"/>
              <w:jc w:val="center"/>
              <w:rPr>
                <w:rFonts w:ascii="Garamond" w:hAnsi="Garamond"/>
                <w:sz w:val="20"/>
              </w:rPr>
            </w:pPr>
            <w:r w:rsidRPr="00FE56AC">
              <w:rPr>
                <w:rFonts w:ascii="Garamond" w:eastAsia="Times New Roman" w:hAnsi="Garamond" w:cs="Times New Roman"/>
                <w:sz w:val="20"/>
                <w:lang w:eastAsia="ar-SA"/>
              </w:rPr>
              <w:t>Nie dotyczy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5EB56" w14:textId="77777777" w:rsidR="00635A0D" w:rsidRPr="00FE56AC" w:rsidRDefault="00635A0D" w:rsidP="00635A0D">
            <w:pPr>
              <w:suppressAutoHyphens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sz w:val="20"/>
                <w:lang w:eastAsia="ar-SA"/>
              </w:rPr>
            </w:pPr>
            <w:r w:rsidRPr="00FE56AC">
              <w:rPr>
                <w:rFonts w:ascii="Garamond" w:eastAsia="Times New Roman" w:hAnsi="Garamond" w:cs="Times New Roman"/>
                <w:sz w:val="20"/>
                <w:lang w:eastAsia="ar-SA"/>
              </w:rPr>
              <w:t>---</w:t>
            </w:r>
          </w:p>
        </w:tc>
      </w:tr>
      <w:tr w:rsidR="00635A0D" w:rsidRPr="00635A0D" w14:paraId="1F5B9FF1" w14:textId="77777777" w:rsidTr="009461A9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85C1D2" w14:textId="77777777" w:rsidR="00635A0D" w:rsidRPr="00FE56AC" w:rsidRDefault="00635A0D" w:rsidP="00635A0D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697C2A" w14:textId="77777777" w:rsidR="00635A0D" w:rsidRPr="00FE56AC" w:rsidRDefault="00635A0D" w:rsidP="00635A0D">
            <w:pPr>
              <w:spacing w:before="120" w:after="120"/>
              <w:rPr>
                <w:rFonts w:ascii="Garamond" w:hAnsi="Garamond" w:cs="Times New Roman"/>
                <w:sz w:val="20"/>
              </w:rPr>
            </w:pPr>
            <w:r w:rsidRPr="00FE56AC">
              <w:rPr>
                <w:rFonts w:ascii="Garamond" w:hAnsi="Garamond"/>
                <w:sz w:val="20"/>
              </w:rPr>
              <w:t>Wymagane parametry monitorowane lub wyliczane:</w:t>
            </w:r>
          </w:p>
          <w:p w14:paraId="04CD4029" w14:textId="77777777" w:rsidR="00635A0D" w:rsidRPr="00FE56AC" w:rsidRDefault="00635A0D" w:rsidP="00064AB0">
            <w:pPr>
              <w:numPr>
                <w:ilvl w:val="0"/>
                <w:numId w:val="4"/>
              </w:numPr>
              <w:spacing w:before="120" w:after="0" w:line="240" w:lineRule="auto"/>
              <w:rPr>
                <w:rFonts w:ascii="Garamond" w:hAnsi="Garamond"/>
                <w:sz w:val="20"/>
              </w:rPr>
            </w:pPr>
            <w:r w:rsidRPr="00FE56AC">
              <w:rPr>
                <w:rFonts w:ascii="Garamond" w:hAnsi="Garamond"/>
                <w:sz w:val="20"/>
              </w:rPr>
              <w:t xml:space="preserve">rzut serca </w:t>
            </w:r>
            <w:r w:rsidRPr="00FE56AC">
              <w:rPr>
                <w:rFonts w:ascii="Garamond" w:hAnsi="Garamond"/>
                <w:b/>
                <w:sz w:val="20"/>
              </w:rPr>
              <w:t>(CO);</w:t>
            </w:r>
          </w:p>
          <w:p w14:paraId="512323C2" w14:textId="77777777" w:rsidR="00635A0D" w:rsidRPr="00FE56AC" w:rsidRDefault="00635A0D" w:rsidP="00064AB0">
            <w:pPr>
              <w:numPr>
                <w:ilvl w:val="0"/>
                <w:numId w:val="4"/>
              </w:numPr>
              <w:spacing w:before="120" w:after="0" w:line="240" w:lineRule="auto"/>
              <w:rPr>
                <w:rFonts w:ascii="Garamond" w:hAnsi="Garamond"/>
                <w:sz w:val="20"/>
              </w:rPr>
            </w:pPr>
            <w:r w:rsidRPr="00FE56AC">
              <w:rPr>
                <w:rFonts w:ascii="Garamond" w:hAnsi="Garamond"/>
                <w:sz w:val="20"/>
              </w:rPr>
              <w:t xml:space="preserve">objętość wyrzutowa </w:t>
            </w:r>
            <w:r w:rsidRPr="00FE56AC">
              <w:rPr>
                <w:rFonts w:ascii="Garamond" w:hAnsi="Garamond"/>
                <w:b/>
                <w:sz w:val="20"/>
              </w:rPr>
              <w:t>(SV);</w:t>
            </w:r>
          </w:p>
          <w:p w14:paraId="4C1FB287" w14:textId="77777777" w:rsidR="00635A0D" w:rsidRPr="00FE56AC" w:rsidRDefault="00635A0D" w:rsidP="00064AB0">
            <w:pPr>
              <w:numPr>
                <w:ilvl w:val="0"/>
                <w:numId w:val="4"/>
              </w:numPr>
              <w:spacing w:before="120" w:after="0" w:line="240" w:lineRule="auto"/>
              <w:rPr>
                <w:rFonts w:ascii="Garamond" w:hAnsi="Garamond"/>
                <w:sz w:val="20"/>
              </w:rPr>
            </w:pPr>
            <w:r w:rsidRPr="00FE56AC">
              <w:rPr>
                <w:rFonts w:ascii="Garamond" w:hAnsi="Garamond"/>
                <w:sz w:val="20"/>
              </w:rPr>
              <w:t xml:space="preserve">systemowy (obwodowy) opór naczyniowy </w:t>
            </w:r>
            <w:r w:rsidRPr="00FE56AC">
              <w:rPr>
                <w:rFonts w:ascii="Garamond" w:hAnsi="Garamond"/>
                <w:b/>
                <w:sz w:val="20"/>
              </w:rPr>
              <w:t>(SVR);</w:t>
            </w:r>
          </w:p>
          <w:p w14:paraId="7710B1D7" w14:textId="77777777" w:rsidR="00635A0D" w:rsidRPr="00FE56AC" w:rsidRDefault="00635A0D" w:rsidP="00064AB0">
            <w:pPr>
              <w:numPr>
                <w:ilvl w:val="0"/>
                <w:numId w:val="4"/>
              </w:numPr>
              <w:spacing w:before="120" w:after="0" w:line="240" w:lineRule="auto"/>
              <w:rPr>
                <w:rFonts w:ascii="Garamond" w:hAnsi="Garamond"/>
                <w:sz w:val="20"/>
              </w:rPr>
            </w:pPr>
            <w:r w:rsidRPr="00FE56AC">
              <w:rPr>
                <w:rFonts w:ascii="Garamond" w:hAnsi="Garamond"/>
                <w:sz w:val="20"/>
              </w:rPr>
              <w:t xml:space="preserve">zmienność objętości wyrzutowej </w:t>
            </w:r>
            <w:r w:rsidRPr="00FE56AC">
              <w:rPr>
                <w:rFonts w:ascii="Garamond" w:hAnsi="Garamond"/>
                <w:b/>
                <w:sz w:val="20"/>
              </w:rPr>
              <w:t>(SVV);</w:t>
            </w:r>
          </w:p>
          <w:p w14:paraId="56838C46" w14:textId="77777777" w:rsidR="00635A0D" w:rsidRPr="00FE56AC" w:rsidRDefault="00635A0D" w:rsidP="00064AB0">
            <w:pPr>
              <w:numPr>
                <w:ilvl w:val="0"/>
                <w:numId w:val="4"/>
              </w:numPr>
              <w:spacing w:before="120" w:after="0" w:line="240" w:lineRule="auto"/>
              <w:rPr>
                <w:rFonts w:ascii="Garamond" w:hAnsi="Garamond"/>
                <w:sz w:val="20"/>
              </w:rPr>
            </w:pPr>
            <w:r w:rsidRPr="00FE56AC">
              <w:rPr>
                <w:rFonts w:ascii="Garamond" w:hAnsi="Garamond"/>
                <w:sz w:val="20"/>
              </w:rPr>
              <w:t xml:space="preserve">ciśnienie skurczowe (SYS), </w:t>
            </w:r>
          </w:p>
          <w:p w14:paraId="0FA94D59" w14:textId="77777777" w:rsidR="00635A0D" w:rsidRPr="00FE56AC" w:rsidRDefault="00635A0D" w:rsidP="00064AB0">
            <w:pPr>
              <w:numPr>
                <w:ilvl w:val="0"/>
                <w:numId w:val="4"/>
              </w:numPr>
              <w:spacing w:before="120" w:after="0" w:line="240" w:lineRule="auto"/>
              <w:rPr>
                <w:rFonts w:ascii="Garamond" w:hAnsi="Garamond"/>
                <w:sz w:val="20"/>
              </w:rPr>
            </w:pPr>
            <w:r w:rsidRPr="00FE56AC">
              <w:rPr>
                <w:rFonts w:ascii="Garamond" w:hAnsi="Garamond"/>
                <w:sz w:val="20"/>
              </w:rPr>
              <w:t xml:space="preserve">ciśnienie rozkurczowe (DIA), </w:t>
            </w:r>
          </w:p>
          <w:p w14:paraId="6D0902BB" w14:textId="77777777" w:rsidR="00635A0D" w:rsidRPr="00FE56AC" w:rsidRDefault="00635A0D" w:rsidP="00064AB0">
            <w:pPr>
              <w:numPr>
                <w:ilvl w:val="0"/>
                <w:numId w:val="4"/>
              </w:numPr>
              <w:spacing w:before="120" w:after="0" w:line="240" w:lineRule="auto"/>
              <w:rPr>
                <w:rFonts w:ascii="Garamond" w:hAnsi="Garamond"/>
                <w:sz w:val="20"/>
              </w:rPr>
            </w:pPr>
            <w:r w:rsidRPr="00FE56AC">
              <w:rPr>
                <w:rFonts w:ascii="Garamond" w:hAnsi="Garamond"/>
                <w:sz w:val="20"/>
              </w:rPr>
              <w:t>średnie (MAP)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BAB101" w14:textId="77777777" w:rsidR="00635A0D" w:rsidRPr="00FE56AC" w:rsidRDefault="00635A0D" w:rsidP="00635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sz w:val="20"/>
                <w:lang w:eastAsia="ar-SA"/>
              </w:rPr>
            </w:pPr>
            <w:r w:rsidRPr="00FE56AC">
              <w:rPr>
                <w:rFonts w:ascii="Garamond" w:eastAsia="Times New Roman" w:hAnsi="Garamond" w:cs="Times New Roman"/>
                <w:sz w:val="20"/>
                <w:lang w:eastAsia="ar-SA"/>
              </w:rPr>
              <w:t>Tak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252A96" w14:textId="77777777" w:rsidR="00635A0D" w:rsidRPr="00FE56AC" w:rsidRDefault="00635A0D" w:rsidP="00635A0D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sz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F9151" w14:textId="77777777" w:rsidR="00635A0D" w:rsidRPr="00FE56AC" w:rsidRDefault="00635A0D" w:rsidP="00635A0D">
            <w:pPr>
              <w:spacing w:before="120" w:after="120"/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67537" w14:textId="77777777" w:rsidR="00635A0D" w:rsidRPr="00E26419" w:rsidRDefault="00635A0D" w:rsidP="00E26419">
            <w:pPr>
              <w:suppressAutoHyphens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sz w:val="20"/>
                <w:lang w:eastAsia="ar-SA"/>
              </w:rPr>
            </w:pPr>
            <w:r w:rsidRPr="00FE56AC">
              <w:rPr>
                <w:rFonts w:ascii="Garamond" w:eastAsia="Times New Roman" w:hAnsi="Garamond" w:cs="Times New Roman"/>
                <w:sz w:val="20"/>
                <w:lang w:eastAsia="ar-SA"/>
              </w:rPr>
              <w:t>---</w:t>
            </w:r>
          </w:p>
        </w:tc>
      </w:tr>
      <w:tr w:rsidR="00E26419" w:rsidRPr="00635A0D" w14:paraId="015309BB" w14:textId="77777777" w:rsidTr="009461A9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13ACAE" w14:textId="77777777" w:rsidR="00E26419" w:rsidRPr="00FE56AC" w:rsidRDefault="00E26419" w:rsidP="00E26419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D457AB" w14:textId="77777777" w:rsidR="00E26419" w:rsidRPr="00E26419" w:rsidRDefault="00E26419" w:rsidP="00A81A75">
            <w:pPr>
              <w:spacing w:before="120" w:after="120" w:line="240" w:lineRule="auto"/>
              <w:rPr>
                <w:rFonts w:ascii="Garamond" w:eastAsia="Times New Roman" w:hAnsi="Garamond" w:cs="Times New Roman"/>
                <w:color w:val="000000"/>
                <w:sz w:val="20"/>
                <w:lang w:eastAsia="pl-PL"/>
              </w:rPr>
            </w:pPr>
            <w:r w:rsidRPr="00E26419">
              <w:rPr>
                <w:rFonts w:ascii="Garamond" w:eastAsia="Times New Roman" w:hAnsi="Garamond" w:cs="Times New Roman"/>
                <w:color w:val="000000"/>
                <w:sz w:val="20"/>
                <w:lang w:eastAsia="pl-PL"/>
              </w:rPr>
              <w:t xml:space="preserve">Monitorowanie </w:t>
            </w:r>
            <w:r w:rsidR="00064AB0" w:rsidRPr="00E26419">
              <w:rPr>
                <w:rFonts w:ascii="Garamond" w:eastAsia="Times New Roman" w:hAnsi="Garamond" w:cs="Times New Roman"/>
                <w:color w:val="000000"/>
                <w:sz w:val="20"/>
                <w:lang w:eastAsia="pl-PL"/>
              </w:rPr>
              <w:t>parametrów</w:t>
            </w:r>
            <w:r w:rsidRPr="00E26419">
              <w:rPr>
                <w:rFonts w:ascii="Garamond" w:eastAsia="Times New Roman" w:hAnsi="Garamond" w:cs="Times New Roman"/>
                <w:color w:val="000000"/>
                <w:sz w:val="20"/>
                <w:lang w:eastAsia="pl-PL"/>
              </w:rPr>
              <w:t xml:space="preserve"> w wersji indeksowanej </w:t>
            </w:r>
          </w:p>
          <w:p w14:paraId="47340766" w14:textId="77777777" w:rsidR="00E26419" w:rsidRPr="00E26419" w:rsidRDefault="00E26419" w:rsidP="00A81A75">
            <w:pPr>
              <w:pStyle w:val="Akapitzlist"/>
              <w:numPr>
                <w:ilvl w:val="0"/>
                <w:numId w:val="6"/>
              </w:numPr>
              <w:spacing w:before="120" w:after="120" w:line="360" w:lineRule="auto"/>
              <w:ind w:left="714" w:hanging="357"/>
              <w:rPr>
                <w:rFonts w:ascii="Garamond" w:hAnsi="Garamond"/>
                <w:color w:val="000000"/>
                <w:szCs w:val="22"/>
              </w:rPr>
            </w:pPr>
            <w:r w:rsidRPr="00E26419">
              <w:rPr>
                <w:rFonts w:ascii="Garamond" w:hAnsi="Garamond"/>
                <w:color w:val="000000"/>
                <w:szCs w:val="22"/>
              </w:rPr>
              <w:t>indeks rzutu serca (CI)</w:t>
            </w:r>
          </w:p>
          <w:p w14:paraId="320CAA73" w14:textId="77777777" w:rsidR="00E26419" w:rsidRPr="00E26419" w:rsidRDefault="00E26419" w:rsidP="00A81A75">
            <w:pPr>
              <w:pStyle w:val="Akapitzlist"/>
              <w:numPr>
                <w:ilvl w:val="0"/>
                <w:numId w:val="6"/>
              </w:numPr>
              <w:spacing w:before="120" w:after="120" w:line="360" w:lineRule="auto"/>
              <w:ind w:left="714" w:hanging="357"/>
              <w:rPr>
                <w:rFonts w:ascii="Garamond" w:hAnsi="Garamond"/>
                <w:color w:val="000000"/>
                <w:szCs w:val="22"/>
              </w:rPr>
            </w:pPr>
            <w:r w:rsidRPr="00E26419">
              <w:rPr>
                <w:rFonts w:ascii="Garamond" w:hAnsi="Garamond"/>
                <w:color w:val="000000"/>
                <w:szCs w:val="22"/>
              </w:rPr>
              <w:t xml:space="preserve">indeksowana </w:t>
            </w:r>
            <w:r w:rsidR="00064AB0" w:rsidRPr="00E26419">
              <w:rPr>
                <w:rFonts w:ascii="Garamond" w:hAnsi="Garamond"/>
                <w:color w:val="000000"/>
                <w:szCs w:val="22"/>
              </w:rPr>
              <w:t>objętość</w:t>
            </w:r>
            <w:r w:rsidRPr="00E26419">
              <w:rPr>
                <w:rFonts w:ascii="Garamond" w:hAnsi="Garamond"/>
                <w:color w:val="000000"/>
                <w:szCs w:val="22"/>
              </w:rPr>
              <w:t xml:space="preserve"> wyrzutowa (SVI)</w:t>
            </w:r>
          </w:p>
          <w:p w14:paraId="2AF3C1D0" w14:textId="77777777" w:rsidR="00E26419" w:rsidRPr="00E26419" w:rsidRDefault="00E26419" w:rsidP="00A81A75">
            <w:pPr>
              <w:pStyle w:val="Akapitzlist"/>
              <w:numPr>
                <w:ilvl w:val="0"/>
                <w:numId w:val="6"/>
              </w:numPr>
              <w:spacing w:before="120" w:line="360" w:lineRule="auto"/>
              <w:ind w:left="714" w:hanging="357"/>
              <w:rPr>
                <w:rFonts w:ascii="Garamond" w:hAnsi="Garamond"/>
                <w:color w:val="000000"/>
                <w:szCs w:val="22"/>
              </w:rPr>
            </w:pPr>
            <w:r w:rsidRPr="00E26419">
              <w:rPr>
                <w:rFonts w:ascii="Garamond" w:hAnsi="Garamond"/>
                <w:color w:val="000000"/>
                <w:szCs w:val="22"/>
              </w:rPr>
              <w:t>indeksowany systemowy (obwodowy) opór naczyniowy (SVRI)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5F1FB4" w14:textId="77777777" w:rsidR="00E26419" w:rsidRPr="00E26419" w:rsidRDefault="00E26419" w:rsidP="00E264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sz w:val="20"/>
                <w:lang w:eastAsia="ar-SA"/>
              </w:rPr>
            </w:pPr>
            <w:r w:rsidRPr="00E26419">
              <w:rPr>
                <w:rFonts w:ascii="Garamond" w:eastAsia="Times New Roman" w:hAnsi="Garamond" w:cs="Times New Roman"/>
                <w:sz w:val="20"/>
                <w:lang w:eastAsia="ar-SA"/>
              </w:rPr>
              <w:t>Tak/ Nie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501FBF" w14:textId="77777777" w:rsidR="00E26419" w:rsidRPr="00FE56AC" w:rsidRDefault="00E26419" w:rsidP="00E2641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sz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EB6AF" w14:textId="77777777" w:rsidR="00E26419" w:rsidRPr="00FE56AC" w:rsidRDefault="00A81A75" w:rsidP="00E26419">
            <w:pPr>
              <w:spacing w:before="120" w:after="120"/>
              <w:jc w:val="center"/>
              <w:rPr>
                <w:rFonts w:ascii="Garamond" w:hAnsi="Garamond"/>
                <w:sz w:val="20"/>
              </w:rPr>
            </w:pPr>
            <w:r w:rsidRPr="00FE56AC">
              <w:rPr>
                <w:rFonts w:ascii="Garamond" w:eastAsia="Times New Roman" w:hAnsi="Garamond" w:cs="Times New Roman"/>
                <w:sz w:val="20"/>
                <w:lang w:eastAsia="ar-SA"/>
              </w:rPr>
              <w:t>Nie dotyczy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31850" w14:textId="77777777" w:rsidR="00E26419" w:rsidRPr="00E26419" w:rsidRDefault="00E26419" w:rsidP="00E26419">
            <w:pPr>
              <w:suppressAutoHyphens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sz w:val="20"/>
                <w:lang w:eastAsia="ar-SA"/>
              </w:rPr>
            </w:pPr>
            <w:r w:rsidRPr="00E26419">
              <w:rPr>
                <w:rFonts w:ascii="Garamond" w:eastAsia="Times New Roman" w:hAnsi="Garamond" w:cs="Times New Roman"/>
                <w:sz w:val="20"/>
                <w:lang w:eastAsia="ar-SA"/>
              </w:rPr>
              <w:t>Tak</w:t>
            </w:r>
            <w:r w:rsidR="00A81A75">
              <w:rPr>
                <w:rFonts w:ascii="Garamond" w:eastAsia="Times New Roman" w:hAnsi="Garamond" w:cs="Times New Roman"/>
                <w:sz w:val="20"/>
                <w:lang w:eastAsia="ar-SA"/>
              </w:rPr>
              <w:t xml:space="preserve"> </w:t>
            </w:r>
            <w:r w:rsidRPr="00E26419">
              <w:rPr>
                <w:rFonts w:ascii="Garamond" w:eastAsia="Times New Roman" w:hAnsi="Garamond" w:cs="Times New Roman"/>
                <w:sz w:val="20"/>
                <w:lang w:eastAsia="ar-SA"/>
              </w:rPr>
              <w:t>- 1 pkt</w:t>
            </w:r>
          </w:p>
          <w:p w14:paraId="12988C82" w14:textId="77777777" w:rsidR="00E26419" w:rsidRPr="00E26419" w:rsidRDefault="00E26419" w:rsidP="00E26419">
            <w:pPr>
              <w:suppressAutoHyphens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sz w:val="20"/>
                <w:lang w:eastAsia="ar-SA"/>
              </w:rPr>
            </w:pPr>
            <w:r w:rsidRPr="00E26419">
              <w:rPr>
                <w:rFonts w:ascii="Garamond" w:eastAsia="Times New Roman" w:hAnsi="Garamond" w:cs="Times New Roman"/>
                <w:sz w:val="20"/>
                <w:lang w:eastAsia="ar-SA"/>
              </w:rPr>
              <w:t>Nie – 0 pkt</w:t>
            </w:r>
          </w:p>
        </w:tc>
      </w:tr>
      <w:tr w:rsidR="00E26419" w:rsidRPr="00635A0D" w14:paraId="6A6289A0" w14:textId="77777777" w:rsidTr="009461A9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A90EBE" w14:textId="77777777" w:rsidR="00E26419" w:rsidRPr="00FE56AC" w:rsidRDefault="00E26419" w:rsidP="00E26419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A777A1" w14:textId="77777777" w:rsidR="00E26419" w:rsidRPr="00E26419" w:rsidRDefault="00E26419" w:rsidP="00E26419">
            <w:pPr>
              <w:spacing w:before="120" w:after="120"/>
              <w:rPr>
                <w:rFonts w:ascii="Garamond" w:eastAsia="Times New Roman" w:hAnsi="Garamond" w:cs="Times New Roman"/>
                <w:color w:val="000000"/>
                <w:sz w:val="20"/>
                <w:lang w:eastAsia="pl-PL"/>
              </w:rPr>
            </w:pPr>
            <w:r w:rsidRPr="00E26419">
              <w:rPr>
                <w:rFonts w:ascii="Garamond" w:eastAsia="Times New Roman" w:hAnsi="Garamond" w:cs="Times New Roman"/>
                <w:color w:val="000000"/>
                <w:sz w:val="20"/>
                <w:lang w:eastAsia="pl-PL"/>
              </w:rPr>
              <w:t>Menu w języku polskim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A509F1" w14:textId="77777777" w:rsidR="00E26419" w:rsidRPr="00E26419" w:rsidRDefault="00E26419" w:rsidP="00E264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sz w:val="20"/>
                <w:lang w:eastAsia="ar-SA"/>
              </w:rPr>
            </w:pPr>
            <w:r>
              <w:rPr>
                <w:rFonts w:ascii="Garamond" w:eastAsia="Times New Roman" w:hAnsi="Garamond" w:cs="Times New Roman"/>
                <w:sz w:val="20"/>
                <w:lang w:eastAsia="ar-SA"/>
              </w:rPr>
              <w:t>Tak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7B5411" w14:textId="77777777" w:rsidR="00E26419" w:rsidRPr="00FE56AC" w:rsidRDefault="00E26419" w:rsidP="00E2641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sz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4F122" w14:textId="77777777" w:rsidR="00E26419" w:rsidRPr="00FE56AC" w:rsidRDefault="00E26419" w:rsidP="00E26419">
            <w:pPr>
              <w:spacing w:before="120" w:after="120"/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380D6" w14:textId="77777777" w:rsidR="00E26419" w:rsidRPr="00FE56AC" w:rsidRDefault="00E26419" w:rsidP="00E26419">
            <w:pPr>
              <w:jc w:val="center"/>
              <w:rPr>
                <w:rFonts w:ascii="Garamond" w:eastAsia="Times New Roman" w:hAnsi="Garamond" w:cs="Times New Roman"/>
                <w:sz w:val="20"/>
                <w:lang w:eastAsia="ar-SA"/>
              </w:rPr>
            </w:pPr>
          </w:p>
        </w:tc>
      </w:tr>
      <w:tr w:rsidR="00635A0D" w:rsidRPr="00635A0D" w14:paraId="31902A12" w14:textId="77777777" w:rsidTr="009461A9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46B0F0" w14:textId="77777777" w:rsidR="00635A0D" w:rsidRPr="00FE56AC" w:rsidRDefault="00635A0D" w:rsidP="00635A0D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FEE404" w14:textId="77777777" w:rsidR="00635A0D" w:rsidRPr="00FE56AC" w:rsidRDefault="00635A0D" w:rsidP="00635A0D">
            <w:pPr>
              <w:spacing w:before="120" w:after="120"/>
              <w:rPr>
                <w:rFonts w:ascii="Garamond" w:hAnsi="Garamond"/>
                <w:b/>
                <w:sz w:val="20"/>
              </w:rPr>
            </w:pPr>
            <w:r w:rsidRPr="00FE56AC">
              <w:rPr>
                <w:rFonts w:ascii="Garamond" w:hAnsi="Garamond"/>
                <w:sz w:val="20"/>
              </w:rPr>
              <w:t>Dopuszczenie do obrotu na rynku polskim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7E5ED2" w14:textId="77777777" w:rsidR="00635A0D" w:rsidRPr="00FE56AC" w:rsidRDefault="00635A0D" w:rsidP="00635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sz w:val="20"/>
                <w:lang w:eastAsia="ar-SA"/>
              </w:rPr>
            </w:pPr>
            <w:r w:rsidRPr="00FE56AC">
              <w:rPr>
                <w:rFonts w:ascii="Garamond" w:eastAsia="Times New Roman" w:hAnsi="Garamond" w:cs="Times New Roman"/>
                <w:sz w:val="20"/>
                <w:lang w:eastAsia="ar-SA"/>
              </w:rPr>
              <w:t>Tak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087163" w14:textId="77777777" w:rsidR="00635A0D" w:rsidRPr="00FE56AC" w:rsidRDefault="00635A0D" w:rsidP="00635A0D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sz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2A74C" w14:textId="77777777" w:rsidR="00635A0D" w:rsidRPr="00FE56AC" w:rsidRDefault="0023047E" w:rsidP="00635A0D">
            <w:pPr>
              <w:spacing w:before="120" w:after="120"/>
              <w:jc w:val="center"/>
              <w:rPr>
                <w:rFonts w:ascii="Garamond" w:hAnsi="Garamond"/>
                <w:sz w:val="20"/>
              </w:rPr>
            </w:pPr>
            <w:r w:rsidRPr="00FE56AC">
              <w:rPr>
                <w:rFonts w:ascii="Garamond" w:eastAsia="Times New Roman" w:hAnsi="Garamond" w:cs="Times New Roman"/>
                <w:sz w:val="20"/>
                <w:lang w:eastAsia="ar-SA"/>
              </w:rPr>
              <w:t>Nie dotyczy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9019F" w14:textId="77777777" w:rsidR="00635A0D" w:rsidRPr="00FE56AC" w:rsidRDefault="00635A0D" w:rsidP="00635A0D">
            <w:pPr>
              <w:jc w:val="center"/>
              <w:rPr>
                <w:sz w:val="20"/>
              </w:rPr>
            </w:pPr>
            <w:r w:rsidRPr="00FE56AC">
              <w:rPr>
                <w:rFonts w:ascii="Garamond" w:eastAsia="Times New Roman" w:hAnsi="Garamond" w:cs="Times New Roman"/>
                <w:sz w:val="20"/>
                <w:lang w:eastAsia="ar-SA"/>
              </w:rPr>
              <w:t>---</w:t>
            </w:r>
          </w:p>
        </w:tc>
      </w:tr>
    </w:tbl>
    <w:p w14:paraId="02AAD14E" w14:textId="77777777" w:rsidR="00A0463A" w:rsidRDefault="00A0463A">
      <w:pPr>
        <w:rPr>
          <w:rFonts w:ascii="Garamond" w:eastAsia="Times New Roman" w:hAnsi="Garamond" w:cs="Times New Roman"/>
          <w:b/>
          <w:lang w:eastAsia="ar-SA"/>
        </w:rPr>
      </w:pPr>
    </w:p>
    <w:p w14:paraId="6E2C4BDD" w14:textId="77777777" w:rsidR="00F1470B" w:rsidRDefault="00F1470B">
      <w:pPr>
        <w:rPr>
          <w:rFonts w:ascii="Garamond" w:eastAsia="Times New Roman" w:hAnsi="Garamond" w:cs="Times New Roman"/>
          <w:b/>
          <w:lang w:eastAsia="ar-SA"/>
        </w:rPr>
      </w:pPr>
    </w:p>
    <w:p w14:paraId="346755C6" w14:textId="77777777" w:rsidR="00064AB0" w:rsidRDefault="00064AB0">
      <w:pPr>
        <w:rPr>
          <w:rFonts w:ascii="Garamond" w:eastAsia="Times New Roman" w:hAnsi="Garamond" w:cs="Times New Roman"/>
          <w:b/>
          <w:lang w:eastAsia="ar-SA"/>
        </w:rPr>
      </w:pPr>
    </w:p>
    <w:p w14:paraId="7B525A7A" w14:textId="77777777" w:rsidR="0061410F" w:rsidRPr="0024694B" w:rsidRDefault="0061410F" w:rsidP="008E7004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24694B">
        <w:rPr>
          <w:rFonts w:ascii="Garamond" w:eastAsia="Times New Roman" w:hAnsi="Garamond" w:cs="Times New Roman"/>
          <w:b/>
          <w:lang w:eastAsia="ar-SA"/>
        </w:rPr>
        <w:t>WARUNKI GWARANCJI I SERWISU</w:t>
      </w:r>
    </w:p>
    <w:p w14:paraId="2165FA73" w14:textId="77777777" w:rsidR="00A30FFD" w:rsidRPr="0024694B" w:rsidRDefault="00A30FFD" w:rsidP="0061410F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tbl>
      <w:tblPr>
        <w:tblW w:w="14609" w:type="dxa"/>
        <w:tblInd w:w="-1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7371"/>
        <w:gridCol w:w="1984"/>
        <w:gridCol w:w="2062"/>
        <w:gridCol w:w="2616"/>
      </w:tblGrid>
      <w:tr w:rsidR="0061410F" w:rsidRPr="003A5DAB" w14:paraId="3DF18EE2" w14:textId="77777777" w:rsidTr="008E7004">
        <w:trPr>
          <w:trHeight w:val="79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045D8A1" w14:textId="77777777" w:rsidR="0061410F" w:rsidRPr="003A5DAB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ar-SA"/>
              </w:rPr>
            </w:pPr>
            <w:r w:rsidRPr="003A5DAB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ar-SA"/>
              </w:rPr>
              <w:t>LP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29483EF" w14:textId="77777777" w:rsidR="0061410F" w:rsidRPr="003A5DAB" w:rsidRDefault="0061410F" w:rsidP="0061410F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720" w:hanging="720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ar-SA"/>
              </w:rPr>
            </w:pPr>
            <w:r w:rsidRPr="003A5DAB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ar-SA"/>
              </w:rPr>
              <w:t>PARAMETR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69653CC" w14:textId="77777777" w:rsidR="0061410F" w:rsidRPr="003A5DAB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ar-SA"/>
              </w:rPr>
            </w:pPr>
            <w:r w:rsidRPr="003A5DAB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ar-SA"/>
              </w:rPr>
              <w:t>PARAMETR WYMAGANY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0198936" w14:textId="77777777" w:rsidR="0061410F" w:rsidRPr="003A5DAB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ar-SA"/>
              </w:rPr>
            </w:pPr>
            <w:r w:rsidRPr="003A5DAB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ar-SA"/>
              </w:rPr>
              <w:t>PARAMETR OFEROWANY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EB196C3" w14:textId="77777777" w:rsidR="0061410F" w:rsidRPr="003A5DAB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ar-SA"/>
              </w:rPr>
            </w:pPr>
            <w:r w:rsidRPr="003A5DAB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ar-SA"/>
              </w:rPr>
              <w:t>SPOSÓB OCENY</w:t>
            </w:r>
          </w:p>
        </w:tc>
      </w:tr>
      <w:tr w:rsidR="008E7004" w:rsidRPr="003A5DAB" w14:paraId="5187AE1D" w14:textId="77777777" w:rsidTr="008E7004">
        <w:trPr>
          <w:trHeight w:val="403"/>
        </w:trPr>
        <w:tc>
          <w:tcPr>
            <w:tcW w:w="146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0337FC" w14:textId="77777777" w:rsidR="008E7004" w:rsidRPr="003A5DAB" w:rsidRDefault="008E7004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ar-SA"/>
              </w:rPr>
              <w:t>GWARANCJE</w:t>
            </w:r>
          </w:p>
        </w:tc>
      </w:tr>
      <w:tr w:rsidR="0023047E" w:rsidRPr="003A5DAB" w14:paraId="13D36189" w14:textId="77777777" w:rsidTr="00A046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2F7A35" w14:textId="77777777" w:rsidR="0023047E" w:rsidRPr="003A5DAB" w:rsidRDefault="0023047E" w:rsidP="0023047E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701DC5" w14:textId="77777777" w:rsidR="0023047E" w:rsidRPr="00B019FD" w:rsidRDefault="0023047E" w:rsidP="002304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120" w:line="240" w:lineRule="auto"/>
              <w:rPr>
                <w:rFonts w:ascii="Garamond" w:hAnsi="Garamond"/>
                <w:sz w:val="10"/>
                <w:szCs w:val="10"/>
              </w:rPr>
            </w:pPr>
            <w:r w:rsidRPr="00B019FD">
              <w:rPr>
                <w:rFonts w:ascii="Garamond" w:eastAsia="Times New Roman" w:hAnsi="Garamond" w:cstheme="minorHAnsi"/>
                <w:sz w:val="20"/>
                <w:szCs w:val="20"/>
                <w:lang w:eastAsia="pl-PL"/>
              </w:rPr>
              <w:t>Okres gwarancji dla urządzeń  i wszystkich ich składników [liczba miesięcy]</w:t>
            </w:r>
          </w:p>
          <w:p w14:paraId="4532D23A" w14:textId="312A7E9B" w:rsidR="0023047E" w:rsidRPr="00B019FD" w:rsidRDefault="0023047E" w:rsidP="002304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  <w:r w:rsidRPr="00B019FD">
              <w:rPr>
                <w:rFonts w:ascii="Garamond" w:hAnsi="Garamond"/>
                <w:i/>
                <w:iCs/>
                <w:sz w:val="20"/>
                <w:szCs w:val="20"/>
              </w:rPr>
              <w:t>UWAGA – należy podać pełną liczbę miesięcy. Wartości ułamkowe będą przy ocenie zaokrąglane w dół – do pełnych miesięcy.</w:t>
            </w:r>
            <w:r w:rsidR="00F336E3" w:rsidRPr="00B019FD">
              <w:rPr>
                <w:rFonts w:ascii="Garamond" w:hAnsi="Garamond"/>
                <w:i/>
                <w:iCs/>
                <w:sz w:val="20"/>
                <w:szCs w:val="20"/>
              </w:rPr>
              <w:t xml:space="preserve"> Zamawiający zastrzega, że okres rękojmi musi być równy okresowi gwarancji. </w:t>
            </w:r>
            <w:r w:rsidR="00B019FD" w:rsidRPr="00B019FD">
              <w:rPr>
                <w:rFonts w:ascii="Garamond" w:hAnsi="Garamond"/>
                <w:i/>
                <w:sz w:val="20"/>
                <w:szCs w:val="20"/>
              </w:rPr>
              <w:t>Zamawiający zastrzega, że górna</w:t>
            </w:r>
            <w:r w:rsidR="00B019FD">
              <w:rPr>
                <w:rFonts w:ascii="Garamond" w:hAnsi="Garamond"/>
                <w:i/>
                <w:sz w:val="20"/>
                <w:szCs w:val="20"/>
              </w:rPr>
              <w:t xml:space="preserve"> granica</w:t>
            </w:r>
            <w:bookmarkStart w:id="0" w:name="_GoBack"/>
            <w:bookmarkEnd w:id="0"/>
            <w:r w:rsidR="00F336E3" w:rsidRPr="00B019FD">
              <w:rPr>
                <w:rFonts w:ascii="Garamond" w:hAnsi="Garamond"/>
                <w:i/>
                <w:sz w:val="20"/>
                <w:szCs w:val="20"/>
              </w:rPr>
              <w:t xml:space="preserve"> punktacji gwarancji </w:t>
            </w:r>
            <w:r w:rsidR="00532784" w:rsidRPr="00B019FD">
              <w:rPr>
                <w:rFonts w:ascii="Garamond" w:hAnsi="Garamond"/>
                <w:i/>
                <w:sz w:val="20"/>
                <w:szCs w:val="20"/>
              </w:rPr>
              <w:t xml:space="preserve">wynosi </w:t>
            </w:r>
            <w:r w:rsidR="00F336E3" w:rsidRPr="00B019FD">
              <w:rPr>
                <w:rFonts w:ascii="Garamond" w:hAnsi="Garamond"/>
                <w:i/>
                <w:sz w:val="20"/>
                <w:szCs w:val="20"/>
              </w:rPr>
              <w:t>60 miesięcy.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B7D5BC" w14:textId="77777777" w:rsidR="0023047E" w:rsidRDefault="0023047E" w:rsidP="002304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  <w:r w:rsidRPr="007E391D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 xml:space="preserve">≥12 </w:t>
            </w:r>
          </w:p>
          <w:p w14:paraId="2C8F6A5C" w14:textId="77777777" w:rsidR="0023047E" w:rsidRDefault="0023047E" w:rsidP="002304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</w:p>
          <w:p w14:paraId="14F015D4" w14:textId="77777777" w:rsidR="0023047E" w:rsidRPr="007E391D" w:rsidRDefault="0023047E" w:rsidP="002304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  <w:r w:rsidRPr="008241DA">
              <w:rPr>
                <w:rFonts w:ascii="Garamond" w:eastAsia="Times New Roman" w:hAnsi="Garamond"/>
                <w:sz w:val="20"/>
                <w:lang w:eastAsia="ar-SA"/>
              </w:rPr>
              <w:t>Tak/podać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8227A7" w14:textId="77777777" w:rsidR="0023047E" w:rsidRPr="007E391D" w:rsidRDefault="0023047E" w:rsidP="0023047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81000" w14:textId="77777777" w:rsidR="0023047E" w:rsidRPr="008241DA" w:rsidRDefault="0023047E" w:rsidP="0023047E">
            <w:pPr>
              <w:suppressAutoHyphens/>
              <w:spacing w:line="360" w:lineRule="auto"/>
              <w:contextualSpacing/>
              <w:jc w:val="center"/>
              <w:rPr>
                <w:rFonts w:ascii="Garamond" w:eastAsia="Times New Roman" w:hAnsi="Garamond"/>
                <w:bCs/>
                <w:sz w:val="20"/>
                <w:lang w:eastAsia="ar-SA"/>
              </w:rPr>
            </w:pPr>
            <w:r w:rsidRPr="008241DA">
              <w:rPr>
                <w:rFonts w:ascii="Garamond" w:eastAsia="Times New Roman" w:hAnsi="Garamond"/>
                <w:bCs/>
                <w:sz w:val="20"/>
                <w:lang w:eastAsia="ar-SA"/>
              </w:rPr>
              <w:t>Najdłuższy okres – 10 pkt.,</w:t>
            </w:r>
          </w:p>
          <w:p w14:paraId="0ECAC424" w14:textId="77777777" w:rsidR="0023047E" w:rsidRPr="008241DA" w:rsidRDefault="0023047E" w:rsidP="0023047E">
            <w:pPr>
              <w:jc w:val="center"/>
              <w:rPr>
                <w:rFonts w:ascii="Garamond" w:eastAsia="Times New Roman" w:hAnsi="Garamond"/>
                <w:sz w:val="20"/>
                <w:lang w:eastAsia="ar-SA"/>
              </w:rPr>
            </w:pPr>
            <w:r w:rsidRPr="008241DA">
              <w:rPr>
                <w:rFonts w:ascii="Garamond" w:eastAsia="Times New Roman" w:hAnsi="Garamond"/>
                <w:bCs/>
                <w:sz w:val="20"/>
                <w:lang w:eastAsia="ar-SA"/>
              </w:rPr>
              <w:t>Inne – proporcjonalnie mniej (względem najdłuższej zaoferowanej gwarancji)</w:t>
            </w:r>
          </w:p>
        </w:tc>
      </w:tr>
      <w:tr w:rsidR="008B4D31" w:rsidRPr="003A5DAB" w14:paraId="56210D5C" w14:textId="77777777" w:rsidTr="00A046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51910C" w14:textId="77777777" w:rsidR="008B4D31" w:rsidRPr="003A5DAB" w:rsidRDefault="008B4D31" w:rsidP="0023047E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364FC0" w14:textId="77777777" w:rsidR="008B4D31" w:rsidRPr="00B019FD" w:rsidRDefault="008B4D31" w:rsidP="00780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120" w:line="240" w:lineRule="auto"/>
              <w:rPr>
                <w:rFonts w:ascii="Garamond" w:eastAsia="Times New Roman" w:hAnsi="Garamond" w:cstheme="minorHAnsi"/>
                <w:sz w:val="20"/>
                <w:szCs w:val="20"/>
                <w:lang w:eastAsia="pl-PL"/>
              </w:rPr>
            </w:pPr>
            <w:r w:rsidRPr="00B019FD">
              <w:rPr>
                <w:rFonts w:ascii="Garamond" w:eastAsia="Times New Roman" w:hAnsi="Garamond" w:cstheme="minorHAnsi"/>
                <w:sz w:val="20"/>
                <w:szCs w:val="20"/>
                <w:lang w:eastAsia="pl-PL"/>
              </w:rPr>
              <w:t>Gwarancja dostępności części zamiennych [liczba lat] – min. 8 lat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9E6326" w14:textId="77777777" w:rsidR="008B4D31" w:rsidRPr="007E391D" w:rsidRDefault="008B4D31" w:rsidP="002304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4E7FF2" w14:textId="77777777" w:rsidR="008B4D31" w:rsidRPr="007E391D" w:rsidRDefault="008B4D31" w:rsidP="0023047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F4A45" w14:textId="77777777" w:rsidR="008B4D31" w:rsidRPr="008241DA" w:rsidRDefault="00FC0DDD" w:rsidP="0023047E">
            <w:pPr>
              <w:suppressAutoHyphens/>
              <w:spacing w:line="360" w:lineRule="auto"/>
              <w:contextualSpacing/>
              <w:jc w:val="center"/>
              <w:rPr>
                <w:rFonts w:ascii="Garamond" w:eastAsia="Times New Roman" w:hAnsi="Garamond"/>
                <w:bCs/>
                <w:sz w:val="20"/>
                <w:lang w:eastAsia="ar-SA"/>
              </w:rPr>
            </w:pP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  <w:tr w:rsidR="0023047E" w:rsidRPr="003A5DAB" w14:paraId="2098FB4B" w14:textId="77777777" w:rsidTr="00A046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0A6986" w14:textId="77777777" w:rsidR="0023047E" w:rsidRPr="003A5DAB" w:rsidRDefault="0023047E" w:rsidP="0023047E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7F1120" w14:textId="018B6DD3" w:rsidR="0023047E" w:rsidRPr="00B019FD" w:rsidRDefault="0023047E" w:rsidP="00064AB0">
            <w:pPr>
              <w:suppressAutoHyphens/>
              <w:snapToGrid w:val="0"/>
              <w:spacing w:after="120" w:line="240" w:lineRule="auto"/>
              <w:jc w:val="both"/>
              <w:rPr>
                <w:rFonts w:ascii="Garamond" w:eastAsia="Arial" w:hAnsi="Garamond" w:cs="Times New Roman"/>
                <w:kern w:val="2"/>
                <w:sz w:val="20"/>
                <w:szCs w:val="20"/>
                <w:lang w:eastAsia="ar-SA"/>
              </w:rPr>
            </w:pPr>
            <w:r w:rsidRPr="00B019FD">
              <w:rPr>
                <w:rFonts w:ascii="Garamond" w:eastAsia="Arial" w:hAnsi="Garamond" w:cs="Times New Roman"/>
                <w:kern w:val="2"/>
                <w:sz w:val="20"/>
                <w:szCs w:val="20"/>
                <w:lang w:eastAsia="ar-SA"/>
              </w:rPr>
              <w:t xml:space="preserve">Liczba </w:t>
            </w:r>
            <w:r w:rsidR="00F336E3" w:rsidRPr="00B019FD">
              <w:rPr>
                <w:rFonts w:ascii="Garamond" w:eastAsia="Arial" w:hAnsi="Garamond" w:cs="Times New Roman"/>
                <w:kern w:val="2"/>
                <w:sz w:val="20"/>
                <w:szCs w:val="20"/>
                <w:lang w:eastAsia="ar-SA"/>
              </w:rPr>
              <w:t xml:space="preserve">wymaganych przez producenta </w:t>
            </w:r>
            <w:r w:rsidRPr="00B019FD">
              <w:rPr>
                <w:rFonts w:ascii="Garamond" w:eastAsia="Arial" w:hAnsi="Garamond" w:cs="Times New Roman"/>
                <w:kern w:val="2"/>
                <w:sz w:val="20"/>
                <w:szCs w:val="20"/>
                <w:lang w:eastAsia="ar-SA"/>
              </w:rPr>
              <w:t>przeglądów okresowych niezbędnych do wykonywania</w:t>
            </w:r>
            <w:r w:rsidR="00F336E3" w:rsidRPr="00B019FD">
              <w:rPr>
                <w:rFonts w:ascii="Garamond" w:eastAsia="Arial" w:hAnsi="Garamond" w:cs="Times New Roman"/>
                <w:kern w:val="2"/>
                <w:sz w:val="20"/>
                <w:szCs w:val="20"/>
                <w:lang w:eastAsia="ar-SA"/>
              </w:rPr>
              <w:t xml:space="preserve"> w ciągu roku</w:t>
            </w:r>
            <w:r w:rsidRPr="00B019FD">
              <w:rPr>
                <w:rFonts w:ascii="Garamond" w:eastAsia="Arial" w:hAnsi="Garamond" w:cs="Times New Roman"/>
                <w:kern w:val="2"/>
                <w:sz w:val="20"/>
                <w:szCs w:val="20"/>
                <w:lang w:eastAsia="ar-SA"/>
              </w:rPr>
              <w:t xml:space="preserve"> po upływie gwarancji dla potwierdzenia bezpiecznej eksploatacji sprzętu  – podać, opisać zakres.</w:t>
            </w:r>
          </w:p>
          <w:p w14:paraId="5CC0AB20" w14:textId="77777777" w:rsidR="0023047E" w:rsidRPr="00B019FD" w:rsidRDefault="0023047E" w:rsidP="00064AB0">
            <w:pPr>
              <w:suppressAutoHyphens/>
              <w:snapToGrid w:val="0"/>
              <w:spacing w:after="0" w:line="240" w:lineRule="auto"/>
              <w:jc w:val="both"/>
              <w:rPr>
                <w:rFonts w:ascii="Garamond" w:eastAsia="Times New Roman" w:hAnsi="Garamond" w:cs="Times New Roman"/>
                <w:i/>
                <w:sz w:val="20"/>
                <w:szCs w:val="20"/>
                <w:lang w:eastAsia="ar-SA"/>
              </w:rPr>
            </w:pPr>
            <w:r w:rsidRPr="00B019FD">
              <w:rPr>
                <w:rFonts w:ascii="Garamond" w:eastAsia="Times New Roman" w:hAnsi="Garamond" w:cs="Times New Roman"/>
                <w:i/>
                <w:sz w:val="20"/>
                <w:szCs w:val="20"/>
                <w:lang w:eastAsia="ar-SA"/>
              </w:rPr>
              <w:t>UWAGA – wykonawcę obowiązuje wykonywanie przeglądów okresow</w:t>
            </w:r>
            <w:r w:rsidR="00064AB0" w:rsidRPr="00B019FD">
              <w:rPr>
                <w:rFonts w:ascii="Garamond" w:eastAsia="Times New Roman" w:hAnsi="Garamond" w:cs="Times New Roman"/>
                <w:i/>
                <w:sz w:val="20"/>
                <w:szCs w:val="20"/>
                <w:lang w:eastAsia="ar-SA"/>
              </w:rPr>
              <w:t>ych w wymaganej liczbie także w </w:t>
            </w:r>
            <w:r w:rsidRPr="00B019FD">
              <w:rPr>
                <w:rFonts w:ascii="Garamond" w:eastAsia="Times New Roman" w:hAnsi="Garamond" w:cs="Times New Roman"/>
                <w:i/>
                <w:sz w:val="20"/>
                <w:szCs w:val="20"/>
                <w:lang w:eastAsia="ar-SA"/>
              </w:rPr>
              <w:t>okresie gwarancji (w cenie oferty, bez żadnych dodatkowych kosztów)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71D4CC" w14:textId="77777777" w:rsidR="0023047E" w:rsidRPr="003A5DAB" w:rsidRDefault="0023047E" w:rsidP="0023047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  <w:r w:rsidRPr="003A5DAB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Tak, podać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FD7EB6" w14:textId="77777777" w:rsidR="0023047E" w:rsidRPr="003A5DAB" w:rsidRDefault="0023047E" w:rsidP="0023047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2D57A" w14:textId="6B9E011C" w:rsidR="0023047E" w:rsidRPr="003A5DAB" w:rsidRDefault="00F336E3" w:rsidP="0023047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  <w:r w:rsidRPr="00B019FD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≤</w:t>
            </w:r>
            <w:r w:rsidR="0023047E" w:rsidRPr="00B019FD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 xml:space="preserve"> </w:t>
            </w:r>
            <w:r w:rsidRPr="00B019FD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 xml:space="preserve">1 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 xml:space="preserve">przegląd </w:t>
            </w:r>
            <w:r w:rsidR="0023047E" w:rsidRPr="003A5DAB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– 5 pkt</w:t>
            </w:r>
          </w:p>
          <w:p w14:paraId="08F45622" w14:textId="77777777" w:rsidR="0023047E" w:rsidRPr="003A5DAB" w:rsidRDefault="0023047E" w:rsidP="0023047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  <w:r w:rsidRPr="003A5DAB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więcej – 0 pkt</w:t>
            </w:r>
          </w:p>
        </w:tc>
      </w:tr>
      <w:tr w:rsidR="00FC0DDD" w:rsidRPr="003A5DAB" w14:paraId="782B9FFB" w14:textId="77777777" w:rsidTr="00A046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ED34C7" w14:textId="77777777" w:rsidR="00FC0DDD" w:rsidRPr="003A5DAB" w:rsidRDefault="00FC0DDD" w:rsidP="0023047E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0E898A" w14:textId="77777777" w:rsidR="00FC0DDD" w:rsidRPr="003A5DAB" w:rsidRDefault="00FC0DDD" w:rsidP="00064AB0">
            <w:pPr>
              <w:suppressAutoHyphens/>
              <w:snapToGrid w:val="0"/>
              <w:spacing w:after="120" w:line="240" w:lineRule="auto"/>
              <w:jc w:val="both"/>
              <w:rPr>
                <w:rFonts w:ascii="Garamond" w:eastAsia="Arial" w:hAnsi="Garamond"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ascii="Garamond" w:eastAsia="Arial" w:hAnsi="Garamond" w:cs="Times New Roman"/>
                <w:kern w:val="2"/>
                <w:sz w:val="20"/>
                <w:szCs w:val="20"/>
                <w:lang w:eastAsia="ar-SA"/>
              </w:rPr>
              <w:t xml:space="preserve">W przypadku, gdy w ramach gwarancji następuje wymiana sprzętu na nowy/dokonuje się istotnych napraw sprzętu/wymienia się istotne części sprzętu (podzespołu itp.) termin gwarancji biegnie na nowo. W przypadku zaś innych napraw </w:t>
            </w:r>
            <w:r w:rsidR="00064AB0">
              <w:rPr>
                <w:rFonts w:ascii="Garamond" w:eastAsia="Arial" w:hAnsi="Garamond" w:cs="Times New Roman"/>
                <w:kern w:val="2"/>
                <w:sz w:val="20"/>
                <w:szCs w:val="20"/>
                <w:lang w:eastAsia="ar-SA"/>
              </w:rPr>
              <w:t>przedłużenie okresu gwarancji o </w:t>
            </w:r>
            <w:r>
              <w:rPr>
                <w:rFonts w:ascii="Garamond" w:eastAsia="Arial" w:hAnsi="Garamond" w:cs="Times New Roman"/>
                <w:kern w:val="2"/>
                <w:sz w:val="20"/>
                <w:szCs w:val="20"/>
                <w:lang w:eastAsia="ar-SA"/>
              </w:rPr>
              <w:t>każdy dzień w czasie którego Zamawiający nie mógł korzystać w pełni sprawnego sprzętu.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BF4568" w14:textId="77777777" w:rsidR="00FC0DDD" w:rsidRPr="003A5DAB" w:rsidRDefault="00FC0DDD" w:rsidP="0023047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D66B31" w14:textId="77777777" w:rsidR="00FC0DDD" w:rsidRPr="003A5DAB" w:rsidRDefault="00FC0DDD" w:rsidP="0023047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B0A6D" w14:textId="77777777" w:rsidR="00FC0DDD" w:rsidRPr="003A5DAB" w:rsidRDefault="00FC0DDD" w:rsidP="0023047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  <w:tr w:rsidR="008E7004" w:rsidRPr="003A5DAB" w14:paraId="2EE2AE20" w14:textId="77777777" w:rsidTr="008E7004">
        <w:trPr>
          <w:trHeight w:val="490"/>
        </w:trPr>
        <w:tc>
          <w:tcPr>
            <w:tcW w:w="146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CA55CB7" w14:textId="77777777" w:rsidR="008E7004" w:rsidRDefault="008E7004" w:rsidP="0023047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  <w:r w:rsidRPr="00FC0DDD">
              <w:rPr>
                <w:rFonts w:ascii="Garamond" w:eastAsia="Arial" w:hAnsi="Garamond" w:cs="Times New Roman"/>
                <w:b/>
                <w:kern w:val="2"/>
                <w:sz w:val="20"/>
                <w:szCs w:val="20"/>
                <w:lang w:eastAsia="ar-SA"/>
              </w:rPr>
              <w:t>WARUNKI SERWISU</w:t>
            </w:r>
          </w:p>
        </w:tc>
      </w:tr>
      <w:tr w:rsidR="00FC0DDD" w:rsidRPr="003A5DAB" w14:paraId="00EBE97B" w14:textId="77777777" w:rsidTr="005B1043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3ECCB4" w14:textId="77777777" w:rsidR="00FC0DDD" w:rsidRPr="003A5DAB" w:rsidRDefault="00FC0DDD" w:rsidP="00FC0DDD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3FEF62" w14:textId="77777777" w:rsidR="00FC0DDD" w:rsidRPr="00AE102A" w:rsidRDefault="00FC0DDD" w:rsidP="00064AB0">
            <w:pPr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>W cenie oferty -  przeglądy okresowe w okresie gwarancji (w częstotliwości i w zakresie zgodnym z wymogami producenta)</w:t>
            </w:r>
            <w:r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 xml:space="preserve">Obowiązkowy </w:t>
            </w:r>
            <w:r w:rsidR="00064AB0">
              <w:rPr>
                <w:rFonts w:ascii="Garamond" w:hAnsi="Garamond"/>
                <w:color w:val="000000"/>
                <w:sz w:val="20"/>
                <w:szCs w:val="20"/>
              </w:rPr>
              <w:t xml:space="preserve">w cenie oferty </w:t>
            </w: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>przegląd z końcem biegu gwarancji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CF3BD8" w14:textId="77777777" w:rsidR="00FC0DDD" w:rsidRPr="00AE102A" w:rsidRDefault="00FC0DDD" w:rsidP="00FC0DDD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37C4FB" w14:textId="77777777" w:rsidR="00FC0DDD" w:rsidRPr="00AE102A" w:rsidRDefault="00FC0DDD" w:rsidP="00FC0DDD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CA03B" w14:textId="77777777" w:rsidR="00FC0DDD" w:rsidRPr="00AE102A" w:rsidRDefault="00FC0DDD" w:rsidP="00FC0DD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  <w:tr w:rsidR="00FC0DDD" w:rsidRPr="003A5DAB" w14:paraId="36248F03" w14:textId="77777777" w:rsidTr="005B1043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68B27A" w14:textId="77777777" w:rsidR="00FC0DDD" w:rsidRPr="003A5DAB" w:rsidRDefault="00FC0DDD" w:rsidP="00FC0DDD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93E543" w14:textId="77777777" w:rsidR="00FC0DDD" w:rsidRPr="00AE102A" w:rsidRDefault="00FC0DDD" w:rsidP="00FC0DDD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>Wszystkie czynności serwisowe, w tym ponowne podłą</w:t>
            </w:r>
            <w:r w:rsidR="00064AB0">
              <w:rPr>
                <w:rFonts w:ascii="Garamond" w:hAnsi="Garamond"/>
                <w:color w:val="000000"/>
                <w:sz w:val="20"/>
                <w:szCs w:val="20"/>
              </w:rPr>
              <w:t>czenie i uruchomienie sprzętu w </w:t>
            </w: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>miejscu wskazanym przez Zamawiającego oraz  przeglądy konserwacyjne, w okresie gwarancji - w ramach wynagrodzenia umownego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CF12C8" w14:textId="77777777" w:rsidR="00FC0DDD" w:rsidRPr="00AE102A" w:rsidRDefault="00FC0DDD" w:rsidP="00FC0DDD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105B86" w14:textId="77777777" w:rsidR="00FC0DDD" w:rsidRPr="00AE102A" w:rsidRDefault="00FC0DDD" w:rsidP="00FC0DDD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3E77E" w14:textId="77777777" w:rsidR="00FC0DDD" w:rsidRPr="00AE102A" w:rsidRDefault="00FC0DDD" w:rsidP="00FC0DD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  <w:tr w:rsidR="00FC0DDD" w:rsidRPr="003A5DAB" w14:paraId="4871A933" w14:textId="77777777" w:rsidTr="005B1043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8F4673" w14:textId="77777777" w:rsidR="00FC0DDD" w:rsidRPr="003A5DAB" w:rsidRDefault="00FC0DDD" w:rsidP="00FC0DDD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8E73E2" w14:textId="77777777" w:rsidR="00FC0DDD" w:rsidRPr="00AE102A" w:rsidRDefault="00FC0DDD" w:rsidP="00FC0DDD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 xml:space="preserve">Czas reakcji (dotyczy także reakcji zdalnej): „przyjęte zgłoszenie – podjęta naprawa” =&lt; </w:t>
            </w:r>
            <w:r w:rsidRPr="00AE102A">
              <w:rPr>
                <w:rFonts w:ascii="Garamond" w:hAnsi="Garamond"/>
                <w:sz w:val="20"/>
                <w:szCs w:val="20"/>
              </w:rPr>
              <w:t>48</w:t>
            </w: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 xml:space="preserve"> [godz.]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00713A" w14:textId="77777777" w:rsidR="00FC0DDD" w:rsidRPr="00AE102A" w:rsidRDefault="00FC0DDD" w:rsidP="00FC0DDD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04ACE4" w14:textId="77777777" w:rsidR="00FC0DDD" w:rsidRPr="00AE102A" w:rsidRDefault="00FC0DDD" w:rsidP="00FC0DDD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9731A" w14:textId="77777777" w:rsidR="00FC0DDD" w:rsidRPr="00AE102A" w:rsidRDefault="00FC0DDD" w:rsidP="00FC0DD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  <w:tr w:rsidR="00FC0DDD" w:rsidRPr="003A5DAB" w14:paraId="77B73D59" w14:textId="77777777" w:rsidTr="005B1043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74F3ED" w14:textId="77777777" w:rsidR="00FC0DDD" w:rsidRPr="003A5DAB" w:rsidRDefault="00FC0DDD" w:rsidP="00FC0DDD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BEA23D" w14:textId="77777777" w:rsidR="00FC0DDD" w:rsidRPr="00AE102A" w:rsidRDefault="00FC0DDD" w:rsidP="00FC0DDD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 xml:space="preserve">Możliwość zgłoszeń 24h/dobę, 365 dni/rok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62E185" w14:textId="77777777" w:rsidR="00FC0DDD" w:rsidRPr="00AE102A" w:rsidRDefault="00FC0DDD" w:rsidP="00FC0DDD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72593F" w14:textId="77777777" w:rsidR="00FC0DDD" w:rsidRPr="00AE102A" w:rsidRDefault="00FC0DDD" w:rsidP="00FC0DDD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6ACFC" w14:textId="77777777" w:rsidR="00FC0DDD" w:rsidRPr="00AE102A" w:rsidRDefault="00FC0DDD" w:rsidP="00FC0DD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  <w:tr w:rsidR="00FC0DDD" w:rsidRPr="003A5DAB" w14:paraId="09F0CBBD" w14:textId="77777777" w:rsidTr="005B1043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B97E8F" w14:textId="77777777" w:rsidR="00FC0DDD" w:rsidRPr="003A5DAB" w:rsidRDefault="00FC0DDD" w:rsidP="00FC0DDD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391E46" w14:textId="77777777" w:rsidR="00FC0DDD" w:rsidRPr="00AE102A" w:rsidRDefault="00FC0DDD" w:rsidP="00FC0DDD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>Wymiana każdego podzespołu na nowy po pierwszej  nieskutecznej próbie jego naprawy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4B339A" w14:textId="77777777" w:rsidR="00FC0DDD" w:rsidRPr="00AE102A" w:rsidRDefault="00FC0DDD" w:rsidP="00FC0DDD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07826B" w14:textId="77777777" w:rsidR="00FC0DDD" w:rsidRPr="00AE102A" w:rsidRDefault="00FC0DDD" w:rsidP="00FC0DDD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33D3A" w14:textId="77777777" w:rsidR="00FC0DDD" w:rsidRPr="00AE102A" w:rsidRDefault="00FC0DDD" w:rsidP="00FC0DD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  <w:tr w:rsidR="00FC0DDD" w:rsidRPr="003A5DAB" w14:paraId="41A1EB52" w14:textId="77777777" w:rsidTr="005B1043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C4DA30" w14:textId="77777777" w:rsidR="00FC0DDD" w:rsidRPr="003A5DAB" w:rsidRDefault="00FC0DDD" w:rsidP="00FC0DDD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F35D0C" w14:textId="77777777" w:rsidR="00FC0DDD" w:rsidRPr="00AE102A" w:rsidRDefault="00FC0DDD" w:rsidP="00FC0DDD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 xml:space="preserve">Zakończenie działań serwisowych – do </w:t>
            </w:r>
            <w:r w:rsidRPr="00AE102A">
              <w:rPr>
                <w:rFonts w:ascii="Garamond" w:hAnsi="Garamond"/>
                <w:sz w:val="20"/>
                <w:szCs w:val="20"/>
              </w:rPr>
              <w:t xml:space="preserve">5 </w:t>
            </w: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 xml:space="preserve">dni roboczych od dnia zgłoszenia awarii, a w przypadku konieczności importu części zamiennych, nie dłuższym niż </w:t>
            </w:r>
            <w:r w:rsidRPr="00AE102A">
              <w:rPr>
                <w:rFonts w:ascii="Garamond" w:hAnsi="Garamond"/>
                <w:sz w:val="20"/>
                <w:szCs w:val="20"/>
              </w:rPr>
              <w:t>10</w:t>
            </w:r>
            <w:r w:rsidRPr="00AE102A">
              <w:rPr>
                <w:rFonts w:ascii="Garamond" w:hAnsi="Garamond"/>
                <w:b/>
                <w:color w:val="FF0000"/>
                <w:sz w:val="20"/>
                <w:szCs w:val="20"/>
              </w:rPr>
              <w:t xml:space="preserve"> </w:t>
            </w: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>dni roboczych od dnia zgłoszenia awarii.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4567B4" w14:textId="77777777" w:rsidR="00FC0DDD" w:rsidRPr="00AE102A" w:rsidRDefault="00FC0DDD" w:rsidP="00FC0DDD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A85622" w14:textId="77777777" w:rsidR="00FC0DDD" w:rsidRPr="00AE102A" w:rsidRDefault="00FC0DDD" w:rsidP="00FC0DDD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D25DA" w14:textId="77777777" w:rsidR="00FC0DDD" w:rsidRPr="00AE102A" w:rsidRDefault="00FC0DDD" w:rsidP="00FC0DD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  <w:tr w:rsidR="00FC0DDD" w:rsidRPr="003A5DAB" w14:paraId="7139A971" w14:textId="77777777" w:rsidTr="00A046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CD7B6F" w14:textId="77777777" w:rsidR="00FC0DDD" w:rsidRPr="003A5DAB" w:rsidRDefault="00FC0DDD" w:rsidP="00FC0DDD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053894" w14:textId="77777777" w:rsidR="00FC0DDD" w:rsidRPr="00AE102A" w:rsidRDefault="00FC0DDD" w:rsidP="00FC0DDD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>Struktura serwisowa gwarantująca realizację wymogów stawianych w niniejszej specyfikacji lub udokumentowana/uprawdopodobniona dokumentami możliwość gwarancji realizacji wymogów stawianych w niniejszej specyfikacji – należy podać przy dostawie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5844EF" w14:textId="77777777" w:rsidR="00FC0DDD" w:rsidRPr="00AE102A" w:rsidRDefault="00FC0DDD" w:rsidP="00FC0DDD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593D05" w14:textId="77777777" w:rsidR="00FC0DDD" w:rsidRPr="00AE102A" w:rsidRDefault="00FC0DDD" w:rsidP="00FC0DDD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6CB7E" w14:textId="77777777" w:rsidR="00FC0DDD" w:rsidRPr="00AE102A" w:rsidRDefault="00FC0DDD" w:rsidP="00FC0DD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  <w:tr w:rsidR="00FC0DDD" w:rsidRPr="003A5DAB" w14:paraId="1E7A3D23" w14:textId="77777777" w:rsidTr="00A046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2639E1" w14:textId="77777777" w:rsidR="00FC0DDD" w:rsidRPr="003A5DAB" w:rsidRDefault="00FC0DDD" w:rsidP="00FC0DDD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8740E1" w14:textId="77777777" w:rsidR="00FC0DDD" w:rsidRPr="00AE102A" w:rsidRDefault="00FC0DDD" w:rsidP="00FC0DDD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 xml:space="preserve"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pogwarancyjnego Wykonawcy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D0F744" w14:textId="77777777" w:rsidR="00FC0DDD" w:rsidRPr="00AE102A" w:rsidRDefault="00FC0DDD" w:rsidP="00FC0DDD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AACB8A" w14:textId="77777777" w:rsidR="00FC0DDD" w:rsidRPr="00AE102A" w:rsidRDefault="00FC0DDD" w:rsidP="00FC0DDD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F2CE5" w14:textId="77777777" w:rsidR="00FC0DDD" w:rsidRPr="00AE102A" w:rsidRDefault="00FC0DDD" w:rsidP="00FC0DD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  <w:tr w:rsidR="008E7004" w:rsidRPr="003A5DAB" w14:paraId="4CAA1FE6" w14:textId="77777777" w:rsidTr="008E7004">
        <w:trPr>
          <w:trHeight w:val="562"/>
        </w:trPr>
        <w:tc>
          <w:tcPr>
            <w:tcW w:w="146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288296D" w14:textId="77777777" w:rsidR="008E7004" w:rsidRDefault="008E7004" w:rsidP="00FC0DD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  <w:r>
              <w:rPr>
                <w:rFonts w:ascii="Garamond" w:eastAsia="Arial" w:hAnsi="Garamond" w:cs="Times New Roman"/>
                <w:b/>
                <w:kern w:val="2"/>
                <w:sz w:val="20"/>
                <w:szCs w:val="20"/>
                <w:lang w:eastAsia="ar-SA"/>
              </w:rPr>
              <w:t>SZKOLENIA</w:t>
            </w:r>
          </w:p>
        </w:tc>
      </w:tr>
      <w:tr w:rsidR="00FC0DDD" w:rsidRPr="003A5DAB" w14:paraId="34E748B5" w14:textId="77777777" w:rsidTr="00A046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96AA93" w14:textId="77777777" w:rsidR="00FC0DDD" w:rsidRPr="003A5DAB" w:rsidRDefault="00FC0DDD" w:rsidP="00FC0DDD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1A9215" w14:textId="77777777" w:rsidR="00FC0DDD" w:rsidRPr="00AE102A" w:rsidRDefault="00C316D1" w:rsidP="00FC0DDD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sz w:val="20"/>
                <w:szCs w:val="20"/>
                <w:lang w:eastAsia="ar-SA"/>
              </w:rPr>
            </w:pPr>
            <w:r>
              <w:rPr>
                <w:rFonts w:ascii="Garamond" w:hAnsi="Garamond"/>
                <w:sz w:val="20"/>
                <w:szCs w:val="20"/>
              </w:rPr>
              <w:t>Szkolenia dla personelu</w:t>
            </w:r>
            <w:r w:rsidR="00FC0DDD" w:rsidRPr="00AE102A">
              <w:rPr>
                <w:rFonts w:ascii="Garamond" w:hAnsi="Garamond"/>
                <w:sz w:val="20"/>
                <w:szCs w:val="20"/>
              </w:rPr>
              <w:t xml:space="preserve"> medycznego z zakresu obsługi urządzenia (min. 4 osoby z możliwością podziału i szkolenia w mniejszych podgrupach) w momencie jego instalacji i odbioru; w razie potrzeby Zamawiającego, możliwość stałego wsparcia apli</w:t>
            </w:r>
            <w:r>
              <w:rPr>
                <w:rFonts w:ascii="Garamond" w:hAnsi="Garamond"/>
                <w:sz w:val="20"/>
                <w:szCs w:val="20"/>
              </w:rPr>
              <w:t>kacyjnego w początkowym (do 6-c</w:t>
            </w:r>
            <w:r w:rsidR="00FC0DDD" w:rsidRPr="00AE102A">
              <w:rPr>
                <w:rFonts w:ascii="Garamond" w:hAnsi="Garamond"/>
                <w:sz w:val="20"/>
                <w:szCs w:val="20"/>
              </w:rPr>
              <w:t>iu miesięcy) okresie pracy urządzeń (dodatkowe szkolenie, dodatkowa grupa osób, konsultacje, itp.)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6310D0" w14:textId="77777777" w:rsidR="00FC0DDD" w:rsidRPr="00AE102A" w:rsidRDefault="00FC0DDD" w:rsidP="00FC0DDD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88C5AA" w14:textId="77777777" w:rsidR="00FC0DDD" w:rsidRPr="00AE102A" w:rsidRDefault="00FC0DDD" w:rsidP="00FC0DDD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3FD3F" w14:textId="77777777" w:rsidR="00FC0DDD" w:rsidRPr="00AE102A" w:rsidRDefault="00FC0DDD" w:rsidP="00FC0DD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  <w:tr w:rsidR="00FC0DDD" w:rsidRPr="003A5DAB" w14:paraId="66C54087" w14:textId="77777777" w:rsidTr="00A046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DD1408" w14:textId="77777777" w:rsidR="00FC0DDD" w:rsidRPr="003A5DAB" w:rsidRDefault="00FC0DDD" w:rsidP="00FC0DDD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564D4C" w14:textId="77777777" w:rsidR="00FC0DDD" w:rsidRPr="00AE102A" w:rsidRDefault="00FC0DDD" w:rsidP="00FC0DDD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sz w:val="20"/>
                <w:szCs w:val="20"/>
                <w:lang w:eastAsia="ar-SA"/>
              </w:rPr>
            </w:pPr>
            <w:r w:rsidRPr="00AE102A">
              <w:rPr>
                <w:rFonts w:ascii="Garamond" w:hAnsi="Garamond"/>
                <w:sz w:val="20"/>
                <w:szCs w:val="20"/>
              </w:rPr>
              <w:t>Szkolenia dla personelu technicznego (min. 2 osoby) z zakresu podstawowej diagnostyki stanu technicznego i wykonywania podstawowych czynności konserwacyjnych, diagnostycznych i przeglądowych; w razie potrzeby możliwość stałego wsparcia aplikacyjnego w początkowym (do 6-</w:t>
            </w:r>
            <w:r w:rsidR="00C316D1">
              <w:rPr>
                <w:rFonts w:ascii="Garamond" w:hAnsi="Garamond"/>
                <w:sz w:val="20"/>
                <w:szCs w:val="20"/>
              </w:rPr>
              <w:t>c</w:t>
            </w:r>
            <w:r w:rsidRPr="00AE102A">
              <w:rPr>
                <w:rFonts w:ascii="Garamond" w:hAnsi="Garamond"/>
                <w:sz w:val="20"/>
                <w:szCs w:val="20"/>
              </w:rPr>
              <w:t>iu miesięcy) okresie pracy urządzeń (dodatkowe szkolenie, dodatkowa grupa osób, konsultacje, itp.)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E04701" w14:textId="77777777" w:rsidR="00FC0DDD" w:rsidRPr="00AE102A" w:rsidRDefault="00FC0DDD" w:rsidP="00FC0DDD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10EEDE" w14:textId="77777777" w:rsidR="00FC0DDD" w:rsidRPr="00AE102A" w:rsidRDefault="00FC0DDD" w:rsidP="00FC0DDD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89E14" w14:textId="77777777" w:rsidR="00FC0DDD" w:rsidRPr="00AE102A" w:rsidRDefault="00FC0DDD" w:rsidP="00FC0DD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  <w:tr w:rsidR="00FC0DDD" w:rsidRPr="003A5DAB" w14:paraId="5C3347F3" w14:textId="77777777" w:rsidTr="00A046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495E06" w14:textId="77777777" w:rsidR="00FC0DDD" w:rsidRPr="003A5DAB" w:rsidRDefault="00FC0DDD" w:rsidP="00FC0DDD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A8E3FE" w14:textId="77777777" w:rsidR="00FC0DDD" w:rsidRPr="00AE102A" w:rsidRDefault="00FC0DDD" w:rsidP="00FC0DDD">
            <w:pPr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>Liczba i okres szkoleń:</w:t>
            </w:r>
          </w:p>
          <w:p w14:paraId="773F82FA" w14:textId="77777777" w:rsidR="00FC0DDD" w:rsidRPr="00AE102A" w:rsidRDefault="00FC0DDD" w:rsidP="00FC0DDD">
            <w:pPr>
              <w:tabs>
                <w:tab w:val="num" w:pos="928"/>
              </w:tabs>
              <w:spacing w:after="0"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 xml:space="preserve">- </w:t>
            </w: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 xml:space="preserve">pierwsze szkolenie - tuż po instalacji systemu, w wymiarze do 2 dni roboczych </w:t>
            </w:r>
          </w:p>
          <w:p w14:paraId="5A90ACD3" w14:textId="77777777" w:rsidR="00FC0DDD" w:rsidRPr="00AE102A" w:rsidRDefault="00FC0DDD" w:rsidP="00FC0DDD">
            <w:pPr>
              <w:tabs>
                <w:tab w:val="num" w:pos="928"/>
              </w:tabs>
              <w:spacing w:after="0"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 xml:space="preserve">- </w:t>
            </w: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>dodatkowe, w razie potrzeby, w innym terminie ustalonym z kierownikiem pracowni,</w:t>
            </w:r>
          </w:p>
          <w:p w14:paraId="7B430C2A" w14:textId="77777777" w:rsidR="00FC0DDD" w:rsidRPr="00AE102A" w:rsidRDefault="00FC0DDD" w:rsidP="00FC0DDD">
            <w:pPr>
              <w:widowControl w:val="0"/>
              <w:suppressAutoHyphens/>
              <w:spacing w:after="0" w:line="288" w:lineRule="auto"/>
              <w:jc w:val="both"/>
              <w:rPr>
                <w:rFonts w:ascii="Garamond" w:hAnsi="Garamond"/>
                <w:i/>
                <w:color w:val="000000"/>
                <w:sz w:val="20"/>
                <w:szCs w:val="20"/>
                <w:lang w:eastAsia="ar-SA"/>
              </w:rPr>
            </w:pPr>
            <w:r w:rsidRPr="00AE102A">
              <w:rPr>
                <w:rFonts w:ascii="Garamond" w:hAnsi="Garamond"/>
                <w:i/>
                <w:color w:val="000000"/>
                <w:sz w:val="20"/>
                <w:szCs w:val="20"/>
              </w:rPr>
              <w:t xml:space="preserve">Uwaga – szkolenia dodatkowe dla wszystkich grup w co najmniej takiej </w:t>
            </w:r>
            <w:r w:rsidR="00C316D1">
              <w:rPr>
                <w:rFonts w:ascii="Garamond" w:hAnsi="Garamond"/>
                <w:i/>
                <w:color w:val="000000"/>
                <w:sz w:val="20"/>
                <w:szCs w:val="20"/>
              </w:rPr>
              <w:t>samej liczbie osób jak podano w </w:t>
            </w:r>
            <w:r w:rsidRPr="00AE102A">
              <w:rPr>
                <w:rFonts w:ascii="Garamond" w:hAnsi="Garamond"/>
                <w:i/>
                <w:color w:val="000000"/>
                <w:sz w:val="20"/>
                <w:szCs w:val="20"/>
              </w:rPr>
              <w:t>powyższych punktach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36AE94" w14:textId="77777777" w:rsidR="00FC0DDD" w:rsidRPr="00AE102A" w:rsidRDefault="00FC0DDD" w:rsidP="00FC0DDD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D43F68" w14:textId="77777777" w:rsidR="00FC0DDD" w:rsidRPr="00AE102A" w:rsidRDefault="00FC0DDD" w:rsidP="00FC0DDD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131E1" w14:textId="77777777" w:rsidR="00FC0DDD" w:rsidRPr="00AE102A" w:rsidRDefault="00FC0DDD" w:rsidP="00FC0DD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  <w:tr w:rsidR="008E7004" w:rsidRPr="003A5DAB" w14:paraId="0458281A" w14:textId="77777777" w:rsidTr="008E7004">
        <w:trPr>
          <w:trHeight w:val="586"/>
        </w:trPr>
        <w:tc>
          <w:tcPr>
            <w:tcW w:w="146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65C0C7F" w14:textId="77777777" w:rsidR="008E7004" w:rsidRPr="00AE102A" w:rsidRDefault="008E7004" w:rsidP="00FC0DD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FC0DDD">
              <w:rPr>
                <w:rFonts w:ascii="Garamond" w:hAnsi="Garamond"/>
                <w:b/>
                <w:color w:val="000000"/>
                <w:sz w:val="20"/>
                <w:szCs w:val="20"/>
              </w:rPr>
              <w:lastRenderedPageBreak/>
              <w:t>DOKUMENTACJA</w:t>
            </w:r>
          </w:p>
        </w:tc>
      </w:tr>
      <w:tr w:rsidR="00FC0DDD" w:rsidRPr="003A5DAB" w14:paraId="5203088F" w14:textId="77777777" w:rsidTr="003C3C5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071741" w14:textId="77777777" w:rsidR="00FC0DDD" w:rsidRPr="003A5DAB" w:rsidRDefault="00FC0DDD" w:rsidP="00FC0DDD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140017" w14:textId="77777777" w:rsidR="00FC0DDD" w:rsidRPr="00AE102A" w:rsidRDefault="00FC0DDD" w:rsidP="00FC0DDD">
            <w:pPr>
              <w:widowControl w:val="0"/>
              <w:suppressAutoHyphens/>
              <w:autoSpaceDE w:val="0"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>Instrukcje obsługi w języku polskim w formie elektronicznej i drukowanej (przekazane w</w:t>
            </w:r>
            <w:r w:rsidR="00C316D1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>momencie dostawy dla każdego egzemplarza) – dotyczy także urządzeń peryferyjnych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544646" w14:textId="77777777" w:rsidR="00FC0DDD" w:rsidRPr="00AE102A" w:rsidRDefault="00FC0DDD" w:rsidP="00FC0DDD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18D60D" w14:textId="77777777" w:rsidR="00FC0DDD" w:rsidRPr="00AE102A" w:rsidRDefault="00FC0DDD" w:rsidP="00FC0DDD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89CC5" w14:textId="77777777" w:rsidR="00FC0DDD" w:rsidRPr="00AE102A" w:rsidRDefault="00FC0DDD" w:rsidP="00FC0DD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  <w:tr w:rsidR="00FC0DDD" w:rsidRPr="003A5DAB" w14:paraId="2F571F89" w14:textId="77777777" w:rsidTr="003C3C5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6C2B5E" w14:textId="77777777" w:rsidR="00FC0DDD" w:rsidRPr="003A5DAB" w:rsidRDefault="00FC0DDD" w:rsidP="00FC0DDD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C891B0" w14:textId="77777777" w:rsidR="00FC0DDD" w:rsidRPr="00AE102A" w:rsidRDefault="00FC0DDD" w:rsidP="00FC0DDD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89CCEE" w14:textId="77777777" w:rsidR="00FC0DDD" w:rsidRPr="00AE102A" w:rsidRDefault="00FC0DDD" w:rsidP="00FC0DDD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877E95" w14:textId="77777777" w:rsidR="00FC0DDD" w:rsidRPr="00AE102A" w:rsidRDefault="00FC0DDD" w:rsidP="00FC0DDD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FF5D7" w14:textId="77777777" w:rsidR="00FC0DDD" w:rsidRPr="00AE102A" w:rsidRDefault="00FC0DDD" w:rsidP="00FC0DD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  <w:tr w:rsidR="00FC0DDD" w:rsidRPr="003A5DAB" w14:paraId="134BA4A5" w14:textId="77777777" w:rsidTr="00A046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6189EF" w14:textId="77777777" w:rsidR="00FC0DDD" w:rsidRPr="003A5DAB" w:rsidRDefault="00FC0DDD" w:rsidP="00FC0DDD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F57463" w14:textId="77777777" w:rsidR="00FC0DDD" w:rsidRPr="00AE102A" w:rsidRDefault="00FC0DDD" w:rsidP="00FC0DDD">
            <w:pPr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>Dokumentacja (lub tzw. lista kontrolna zawierająca wykaz części i czynności) dotycząca przeglądów technicznych w języku polskim (dostarczona przy dostawie)</w:t>
            </w:r>
          </w:p>
          <w:p w14:paraId="577EB648" w14:textId="77777777" w:rsidR="00FC0DDD" w:rsidRPr="00AE102A" w:rsidRDefault="00FC0DDD" w:rsidP="00FC0DDD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>UWAGA – dokumentacja musi zapewnić co najmniej pełną diagnostykę urządzenia, wykonywanie drobnych napraw, regulacji, kalibracj</w:t>
            </w:r>
            <w:r w:rsidR="009960ED">
              <w:rPr>
                <w:rFonts w:ascii="Garamond" w:hAnsi="Garamond"/>
                <w:color w:val="000000"/>
                <w:sz w:val="20"/>
                <w:szCs w:val="20"/>
              </w:rPr>
              <w:t>i, oraz przeglądów okresowych w </w:t>
            </w: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>standardzie wymaganym przez producenta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23CA77" w14:textId="77777777" w:rsidR="00FC0DDD" w:rsidRPr="00AE102A" w:rsidRDefault="00FC0DDD" w:rsidP="00FC0DDD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1AF6B1" w14:textId="77777777" w:rsidR="00FC0DDD" w:rsidRPr="00AE102A" w:rsidRDefault="00FC0DDD" w:rsidP="00FC0DDD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6DEBC" w14:textId="77777777" w:rsidR="00FC0DDD" w:rsidRPr="00AE102A" w:rsidRDefault="00FC0DDD" w:rsidP="00FC0DD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  <w:tr w:rsidR="00FC0DDD" w:rsidRPr="003A5DAB" w14:paraId="48273838" w14:textId="77777777" w:rsidTr="00A046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F81951" w14:textId="77777777" w:rsidR="00FC0DDD" w:rsidRPr="003A5DAB" w:rsidRDefault="00FC0DDD" w:rsidP="00FC0DDD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F02E49" w14:textId="77777777" w:rsidR="00FC0DDD" w:rsidRPr="00AE102A" w:rsidRDefault="00FC0DDD" w:rsidP="00FC0DDD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2C9C03" w14:textId="77777777" w:rsidR="00FC0DDD" w:rsidRPr="00AE102A" w:rsidRDefault="00FC0DDD" w:rsidP="00FC0DDD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69CB60" w14:textId="77777777" w:rsidR="00FC0DDD" w:rsidRPr="00AE102A" w:rsidRDefault="00FC0DDD" w:rsidP="00FC0DDD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BE2C3" w14:textId="77777777" w:rsidR="00FC0DDD" w:rsidRPr="00AE102A" w:rsidRDefault="00FC0DDD" w:rsidP="00FC0DD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  <w:tr w:rsidR="00FC0DDD" w:rsidRPr="003A5DAB" w14:paraId="516230CE" w14:textId="77777777" w:rsidTr="003C3C5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A48CF8" w14:textId="77777777" w:rsidR="00FC0DDD" w:rsidRPr="003A5DAB" w:rsidRDefault="00FC0DDD" w:rsidP="00FC0DDD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C0CAA6" w14:textId="77777777" w:rsidR="00FC0DDD" w:rsidRPr="00AE102A" w:rsidRDefault="00FC0DDD" w:rsidP="00FC0DDD">
            <w:pPr>
              <w:widowControl w:val="0"/>
              <w:suppressAutoHyphens/>
              <w:spacing w:after="0"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>Instrukcja konserwacji, mycia, dezynfekcji i sterylizacji dla</w:t>
            </w:r>
            <w:r w:rsidR="009960ED">
              <w:rPr>
                <w:rFonts w:ascii="Garamond" w:hAnsi="Garamond"/>
                <w:color w:val="000000"/>
                <w:sz w:val="20"/>
                <w:szCs w:val="20"/>
              </w:rPr>
              <w:t xml:space="preserve"> zaoferowanych elementów wraz z </w:t>
            </w: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>urządzeniami peryferyjnymi (jeśli dotyczy), dostarczona przy dostawie i wskazująca, że czynności te prawidłowo wykonane nie powodują utraty gwarancji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2B4A39" w14:textId="77777777" w:rsidR="00FC0DDD" w:rsidRPr="00AE102A" w:rsidRDefault="00FC0DDD" w:rsidP="00FC0DDD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CB59BB" w14:textId="77777777" w:rsidR="00FC0DDD" w:rsidRPr="00AE102A" w:rsidRDefault="00FC0DDD" w:rsidP="00FC0DD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E196D" w14:textId="77777777" w:rsidR="00FC0DDD" w:rsidRPr="00AE102A" w:rsidRDefault="00FC0DDD" w:rsidP="00FC0DD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  <w:tr w:rsidR="00FC0DDD" w:rsidRPr="003A5DAB" w14:paraId="1E59CAA2" w14:textId="77777777" w:rsidTr="003C3C5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F7303E" w14:textId="77777777" w:rsidR="00FC0DDD" w:rsidRPr="003A5DAB" w:rsidRDefault="00FC0DDD" w:rsidP="00FC0DDD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029976" w14:textId="77777777" w:rsidR="00FC0DDD" w:rsidRPr="00AE102A" w:rsidRDefault="00FC0DDD" w:rsidP="00FC0DDD">
            <w:pPr>
              <w:spacing w:after="0"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>Możliwość mycia i dezynfekcji poszczególnych</w:t>
            </w:r>
            <w:r w:rsidR="009960ED">
              <w:rPr>
                <w:rFonts w:ascii="Garamond" w:hAnsi="Garamond"/>
                <w:color w:val="000000"/>
                <w:sz w:val="20"/>
                <w:szCs w:val="20"/>
              </w:rPr>
              <w:t xml:space="preserve"> elementów aparatów w oparciu o </w:t>
            </w: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>przedstawione przez wykonawcę zalecane preparaty myjące i dezynfekujące.</w:t>
            </w:r>
          </w:p>
          <w:p w14:paraId="7AC5FCA9" w14:textId="77777777" w:rsidR="00FC0DDD" w:rsidRPr="00AE102A" w:rsidRDefault="00FC0DDD" w:rsidP="00FC0DDD">
            <w:pPr>
              <w:widowControl w:val="0"/>
              <w:suppressAutoHyphens/>
              <w:spacing w:after="0" w:line="288" w:lineRule="auto"/>
              <w:jc w:val="both"/>
              <w:rPr>
                <w:rFonts w:ascii="Garamond" w:hAnsi="Garamond"/>
                <w:i/>
                <w:color w:val="000000"/>
                <w:sz w:val="20"/>
                <w:szCs w:val="20"/>
                <w:lang w:eastAsia="ar-SA"/>
              </w:rPr>
            </w:pPr>
            <w:r w:rsidRPr="00AE102A">
              <w:rPr>
                <w:rFonts w:ascii="Garamond" w:hAnsi="Garamond"/>
                <w:i/>
                <w:color w:val="000000"/>
                <w:sz w:val="20"/>
                <w:szCs w:val="20"/>
              </w:rPr>
              <w:t>UWAGA – zalecane środki powinny zawierać nazwy związków chemicznych, a nie tylko nazwy handlowe preparatów.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7AD376" w14:textId="77777777" w:rsidR="00FC0DDD" w:rsidRPr="00AE102A" w:rsidRDefault="00FC0DDD" w:rsidP="00FC0DDD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0F1748" w14:textId="77777777" w:rsidR="00FC0DDD" w:rsidRPr="00AE102A" w:rsidRDefault="00FC0DDD" w:rsidP="00FC0DD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CEE96" w14:textId="77777777" w:rsidR="00FC0DDD" w:rsidRPr="00775689" w:rsidRDefault="00FC0DDD" w:rsidP="00FC0DD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</w:tbl>
    <w:p w14:paraId="75BF7008" w14:textId="77777777" w:rsidR="0061410F" w:rsidRPr="0024694B" w:rsidRDefault="0061410F" w:rsidP="0061410F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4C39D22D" w14:textId="77777777" w:rsidR="00F14F3B" w:rsidRPr="0024694B" w:rsidRDefault="00F14F3B">
      <w:pPr>
        <w:rPr>
          <w:rFonts w:ascii="Garamond" w:hAnsi="Garamond"/>
        </w:rPr>
      </w:pPr>
    </w:p>
    <w:sectPr w:rsidR="00F14F3B" w:rsidRPr="0024694B" w:rsidSect="00A0463A">
      <w:headerReference w:type="default" r:id="rId7"/>
      <w:footerReference w:type="default" r:id="rId8"/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CCE52" w14:textId="77777777" w:rsidR="0085459D" w:rsidRDefault="0085459D" w:rsidP="00D701FC">
      <w:pPr>
        <w:spacing w:after="0" w:line="240" w:lineRule="auto"/>
      </w:pPr>
      <w:r>
        <w:separator/>
      </w:r>
    </w:p>
  </w:endnote>
  <w:endnote w:type="continuationSeparator" w:id="0">
    <w:p w14:paraId="47079BED" w14:textId="77777777" w:rsidR="0085459D" w:rsidRDefault="0085459D" w:rsidP="00D70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ndale Sans UI">
    <w:altName w:val="Arial Unicode MS"/>
    <w:charset w:val="00"/>
    <w:family w:val="auto"/>
    <w:pitch w:val="variable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0905261"/>
      <w:docPartObj>
        <w:docPartGallery w:val="Page Numbers (Bottom of Page)"/>
        <w:docPartUnique/>
      </w:docPartObj>
    </w:sdtPr>
    <w:sdtEndPr/>
    <w:sdtContent>
      <w:p w14:paraId="6AC70F4E" w14:textId="3E9191CF" w:rsidR="00D701FC" w:rsidRDefault="00D701F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9FD">
          <w:rPr>
            <w:noProof/>
          </w:rPr>
          <w:t>6</w:t>
        </w:r>
        <w:r>
          <w:fldChar w:fldCharType="end"/>
        </w:r>
      </w:p>
    </w:sdtContent>
  </w:sdt>
  <w:p w14:paraId="71A3130D" w14:textId="77777777" w:rsidR="00D701FC" w:rsidRDefault="00D701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D48E9" w14:textId="77777777" w:rsidR="0085459D" w:rsidRDefault="0085459D" w:rsidP="00D701FC">
      <w:pPr>
        <w:spacing w:after="0" w:line="240" w:lineRule="auto"/>
      </w:pPr>
      <w:r>
        <w:separator/>
      </w:r>
    </w:p>
  </w:footnote>
  <w:footnote w:type="continuationSeparator" w:id="0">
    <w:p w14:paraId="3EB9AB92" w14:textId="77777777" w:rsidR="0085459D" w:rsidRDefault="0085459D" w:rsidP="00D70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5FFA4" w14:textId="77777777" w:rsidR="008E7004" w:rsidRPr="00F1470B" w:rsidRDefault="008E7004">
    <w:pPr>
      <w:pStyle w:val="Nagwek"/>
      <w:rPr>
        <w:rFonts w:ascii="Garamond" w:hAnsi="Garamond"/>
        <w:sz w:val="20"/>
        <w:szCs w:val="20"/>
      </w:rPr>
    </w:pPr>
    <w:r w:rsidRPr="00F1470B">
      <w:rPr>
        <w:rFonts w:ascii="Garamond" w:hAnsi="Garamond"/>
        <w:sz w:val="20"/>
        <w:szCs w:val="20"/>
      </w:rPr>
      <w:t>Nr sprawy: DFP.271.106.2021.KK</w:t>
    </w:r>
    <w:r w:rsidRPr="00F1470B">
      <w:rPr>
        <w:rFonts w:ascii="Garamond" w:hAnsi="Garamond"/>
        <w:sz w:val="20"/>
        <w:szCs w:val="20"/>
      </w:rPr>
      <w:tab/>
    </w:r>
    <w:r w:rsidRPr="00F1470B">
      <w:rPr>
        <w:rFonts w:ascii="Garamond" w:hAnsi="Garamond"/>
        <w:sz w:val="20"/>
        <w:szCs w:val="20"/>
      </w:rPr>
      <w:tab/>
    </w:r>
    <w:r w:rsidRPr="00F1470B">
      <w:rPr>
        <w:rFonts w:ascii="Garamond" w:hAnsi="Garamond"/>
        <w:sz w:val="20"/>
        <w:szCs w:val="20"/>
      </w:rPr>
      <w:tab/>
    </w:r>
    <w:r w:rsidRPr="00F1470B">
      <w:rPr>
        <w:rFonts w:ascii="Garamond" w:hAnsi="Garamond"/>
        <w:sz w:val="20"/>
        <w:szCs w:val="20"/>
      </w:rPr>
      <w:tab/>
    </w:r>
    <w:r w:rsidRPr="00F1470B">
      <w:rPr>
        <w:rFonts w:ascii="Garamond" w:hAnsi="Garamond"/>
        <w:sz w:val="20"/>
        <w:szCs w:val="20"/>
      </w:rPr>
      <w:tab/>
    </w:r>
    <w:r w:rsidR="006D2478">
      <w:rPr>
        <w:rFonts w:ascii="Garamond" w:hAnsi="Garamond"/>
        <w:sz w:val="20"/>
        <w:szCs w:val="20"/>
      </w:rPr>
      <w:t xml:space="preserve">                         </w:t>
    </w:r>
    <w:r w:rsidR="00F1470B">
      <w:rPr>
        <w:rFonts w:ascii="Garamond" w:hAnsi="Garamond"/>
        <w:sz w:val="20"/>
        <w:szCs w:val="20"/>
      </w:rPr>
      <w:t xml:space="preserve"> </w:t>
    </w:r>
    <w:r w:rsidR="006D2478">
      <w:rPr>
        <w:rFonts w:ascii="Garamond" w:hAnsi="Garamond"/>
        <w:sz w:val="20"/>
        <w:szCs w:val="20"/>
      </w:rPr>
      <w:t xml:space="preserve">  Załącznik</w:t>
    </w:r>
    <w:r w:rsidRPr="00F1470B">
      <w:rPr>
        <w:rFonts w:ascii="Garamond" w:hAnsi="Garamond"/>
        <w:sz w:val="20"/>
        <w:szCs w:val="20"/>
      </w:rPr>
      <w:t xml:space="preserve"> nr 1a do SWZ</w:t>
    </w:r>
  </w:p>
  <w:p w14:paraId="4DDD0F71" w14:textId="77777777" w:rsidR="008E7004" w:rsidRPr="00F1470B" w:rsidRDefault="008E7004">
    <w:pPr>
      <w:pStyle w:val="Nagwek"/>
      <w:rPr>
        <w:rFonts w:ascii="Garamond" w:hAnsi="Garamond"/>
        <w:sz w:val="20"/>
        <w:szCs w:val="20"/>
      </w:rPr>
    </w:pPr>
    <w:r w:rsidRPr="00F1470B">
      <w:rPr>
        <w:rFonts w:ascii="Garamond" w:hAnsi="Garamond"/>
        <w:sz w:val="20"/>
        <w:szCs w:val="20"/>
      </w:rPr>
      <w:tab/>
    </w:r>
    <w:r w:rsidRPr="00F1470B">
      <w:rPr>
        <w:rFonts w:ascii="Garamond" w:hAnsi="Garamond"/>
        <w:sz w:val="20"/>
        <w:szCs w:val="20"/>
      </w:rPr>
      <w:tab/>
    </w:r>
    <w:r w:rsidRPr="00F1470B">
      <w:rPr>
        <w:rFonts w:ascii="Garamond" w:hAnsi="Garamond"/>
        <w:sz w:val="20"/>
        <w:szCs w:val="20"/>
      </w:rPr>
      <w:tab/>
    </w:r>
    <w:r w:rsidRPr="00F1470B">
      <w:rPr>
        <w:rFonts w:ascii="Garamond" w:hAnsi="Garamond"/>
        <w:sz w:val="20"/>
        <w:szCs w:val="20"/>
      </w:rPr>
      <w:tab/>
    </w:r>
    <w:r w:rsidRPr="00F1470B">
      <w:rPr>
        <w:rFonts w:ascii="Garamond" w:hAnsi="Garamond"/>
        <w:sz w:val="20"/>
        <w:szCs w:val="20"/>
      </w:rPr>
      <w:tab/>
    </w:r>
    <w:r w:rsidRPr="00F1470B">
      <w:rPr>
        <w:rFonts w:ascii="Garamond" w:hAnsi="Garamond"/>
        <w:sz w:val="20"/>
        <w:szCs w:val="20"/>
      </w:rPr>
      <w:tab/>
    </w:r>
    <w:r w:rsidR="00F1470B">
      <w:rPr>
        <w:rFonts w:ascii="Garamond" w:hAnsi="Garamond"/>
        <w:sz w:val="20"/>
        <w:szCs w:val="20"/>
      </w:rPr>
      <w:t xml:space="preserve">          </w:t>
    </w:r>
    <w:r w:rsidRPr="00F1470B">
      <w:rPr>
        <w:rFonts w:ascii="Garamond" w:hAnsi="Garamond"/>
        <w:sz w:val="20"/>
        <w:szCs w:val="20"/>
      </w:rPr>
      <w:t xml:space="preserve">Zał. nr ……… do umowy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2"/>
        <w:szCs w:val="22"/>
      </w:rPr>
    </w:lvl>
  </w:abstractNum>
  <w:abstractNum w:abstractNumId="2" w15:restartNumberingAfterBreak="0">
    <w:nsid w:val="0853155A"/>
    <w:multiLevelType w:val="hybridMultilevel"/>
    <w:tmpl w:val="DF926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C2A4B"/>
    <w:multiLevelType w:val="hybridMultilevel"/>
    <w:tmpl w:val="5A5CE1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C080F"/>
    <w:multiLevelType w:val="hybridMultilevel"/>
    <w:tmpl w:val="98DA4D1A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10F"/>
    <w:rsid w:val="00064AB0"/>
    <w:rsid w:val="000B111F"/>
    <w:rsid w:val="00160743"/>
    <w:rsid w:val="00193871"/>
    <w:rsid w:val="001C4315"/>
    <w:rsid w:val="00211639"/>
    <w:rsid w:val="0023047E"/>
    <w:rsid w:val="00243A37"/>
    <w:rsid w:val="0024694B"/>
    <w:rsid w:val="0027028C"/>
    <w:rsid w:val="0033017D"/>
    <w:rsid w:val="003567EE"/>
    <w:rsid w:val="00367845"/>
    <w:rsid w:val="003A5DAB"/>
    <w:rsid w:val="003C22BB"/>
    <w:rsid w:val="0045735C"/>
    <w:rsid w:val="00484995"/>
    <w:rsid w:val="004A1804"/>
    <w:rsid w:val="00524109"/>
    <w:rsid w:val="00532784"/>
    <w:rsid w:val="00536830"/>
    <w:rsid w:val="005B35A9"/>
    <w:rsid w:val="005F7D3B"/>
    <w:rsid w:val="0061410F"/>
    <w:rsid w:val="00615ADB"/>
    <w:rsid w:val="00635A0D"/>
    <w:rsid w:val="00653119"/>
    <w:rsid w:val="006D2478"/>
    <w:rsid w:val="006E0278"/>
    <w:rsid w:val="007642BA"/>
    <w:rsid w:val="00780383"/>
    <w:rsid w:val="007A371F"/>
    <w:rsid w:val="007A64A4"/>
    <w:rsid w:val="007E391D"/>
    <w:rsid w:val="0085459D"/>
    <w:rsid w:val="008B4D31"/>
    <w:rsid w:val="008D5B35"/>
    <w:rsid w:val="008E7004"/>
    <w:rsid w:val="008E7FE9"/>
    <w:rsid w:val="008F2078"/>
    <w:rsid w:val="008F6344"/>
    <w:rsid w:val="00942F91"/>
    <w:rsid w:val="00945F14"/>
    <w:rsid w:val="009461A9"/>
    <w:rsid w:val="00975A3B"/>
    <w:rsid w:val="00981B93"/>
    <w:rsid w:val="009960ED"/>
    <w:rsid w:val="0099755F"/>
    <w:rsid w:val="009D6FB6"/>
    <w:rsid w:val="009E0AE1"/>
    <w:rsid w:val="00A0463A"/>
    <w:rsid w:val="00A30FFD"/>
    <w:rsid w:val="00A81A75"/>
    <w:rsid w:val="00AA7527"/>
    <w:rsid w:val="00B019FD"/>
    <w:rsid w:val="00B42E77"/>
    <w:rsid w:val="00B84DDE"/>
    <w:rsid w:val="00C159EC"/>
    <w:rsid w:val="00C316D1"/>
    <w:rsid w:val="00D35B78"/>
    <w:rsid w:val="00D701FC"/>
    <w:rsid w:val="00D951E5"/>
    <w:rsid w:val="00E05C2D"/>
    <w:rsid w:val="00E26419"/>
    <w:rsid w:val="00E8782D"/>
    <w:rsid w:val="00F1470B"/>
    <w:rsid w:val="00F14F3B"/>
    <w:rsid w:val="00F336E3"/>
    <w:rsid w:val="00FB3DB6"/>
    <w:rsid w:val="00FC0DDD"/>
    <w:rsid w:val="00FE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A7D6C"/>
  <w15:docId w15:val="{1E00C07E-2EA3-4D1B-A581-A3196B2F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35A0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-kontynuacja2">
    <w:name w:val="List Continue 2"/>
    <w:basedOn w:val="Lista-kontynuacja"/>
    <w:rsid w:val="00942F91"/>
    <w:pPr>
      <w:spacing w:after="160" w:line="240" w:lineRule="auto"/>
      <w:ind w:left="1080" w:hanging="360"/>
      <w:contextualSpacing w:val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uiPriority w:val="99"/>
    <w:semiHidden/>
    <w:unhideWhenUsed/>
    <w:rsid w:val="00942F91"/>
    <w:pPr>
      <w:spacing w:after="120"/>
      <w:ind w:left="283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D5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B3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70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01FC"/>
  </w:style>
  <w:style w:type="paragraph" w:styleId="Stopka">
    <w:name w:val="footer"/>
    <w:basedOn w:val="Normalny"/>
    <w:link w:val="StopkaZnak"/>
    <w:uiPriority w:val="99"/>
    <w:unhideWhenUsed/>
    <w:rsid w:val="00D70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01FC"/>
  </w:style>
  <w:style w:type="character" w:customStyle="1" w:styleId="Nagwek1Znak">
    <w:name w:val="Nagłówek 1 Znak"/>
    <w:basedOn w:val="Domylnaczcionkaakapitu"/>
    <w:link w:val="Nagwek1"/>
    <w:rsid w:val="00635A0D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Default">
    <w:name w:val="Default"/>
    <w:rsid w:val="00635A0D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pl-PL"/>
    </w:rPr>
  </w:style>
  <w:style w:type="paragraph" w:customStyle="1" w:styleId="Lista-kontynuacja24">
    <w:name w:val="Lista - kontynuacja 24"/>
    <w:basedOn w:val="Normalny"/>
    <w:rsid w:val="00FC0DDD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264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7D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7D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7D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7D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7D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2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1416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Zdzisław Paździora</dc:creator>
  <cp:lastModifiedBy>Katarzyna Kowalczyk</cp:lastModifiedBy>
  <cp:revision>3</cp:revision>
  <cp:lastPrinted>2021-09-10T06:22:00Z</cp:lastPrinted>
  <dcterms:created xsi:type="dcterms:W3CDTF">2021-10-18T10:19:00Z</dcterms:created>
  <dcterms:modified xsi:type="dcterms:W3CDTF">2021-10-18T10:28:00Z</dcterms:modified>
</cp:coreProperties>
</file>