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9E25F1" w:rsidRDefault="00EC7A69" w:rsidP="00EC7A69">
      <w:pPr>
        <w:widowControl/>
        <w:spacing w:line="360" w:lineRule="auto"/>
        <w:jc w:val="center"/>
        <w:rPr>
          <w:rFonts w:ascii="Garamond" w:hAnsi="Garamond" w:cs="Calibri"/>
          <w:b/>
          <w:sz w:val="22"/>
          <w:szCs w:val="22"/>
          <w:lang w:eastAsia="zh-CN"/>
        </w:rPr>
      </w:pPr>
      <w:r w:rsidRPr="009E25F1">
        <w:rPr>
          <w:rFonts w:ascii="Garamond" w:hAnsi="Garamond" w:cs="Calibri"/>
          <w:b/>
          <w:sz w:val="22"/>
          <w:szCs w:val="22"/>
          <w:lang w:eastAsia="zh-CN"/>
        </w:rPr>
        <w:t>CZĘŚĆ 1</w:t>
      </w:r>
    </w:p>
    <w:p w:rsidR="00484F4B" w:rsidRPr="009E25F1" w:rsidRDefault="00484F4B" w:rsidP="001352FB">
      <w:pPr>
        <w:widowControl/>
        <w:spacing w:line="360" w:lineRule="auto"/>
        <w:jc w:val="center"/>
        <w:rPr>
          <w:rFonts w:ascii="Garamond" w:hAnsi="Garamond" w:cs="Calibri"/>
          <w:b/>
          <w:sz w:val="22"/>
          <w:szCs w:val="22"/>
          <w:lang w:eastAsia="zh-CN"/>
        </w:rPr>
      </w:pPr>
      <w:r w:rsidRPr="009E25F1">
        <w:rPr>
          <w:rFonts w:ascii="Garamond" w:hAnsi="Garamond" w:cs="Calibri"/>
          <w:b/>
          <w:sz w:val="22"/>
          <w:szCs w:val="22"/>
          <w:lang w:eastAsia="zh-CN"/>
        </w:rPr>
        <w:t>OPIS PRZEDMIOTU ZAMÓWIENIA</w:t>
      </w:r>
    </w:p>
    <w:p w:rsidR="00E66B8F" w:rsidRPr="009E25F1" w:rsidRDefault="00873809" w:rsidP="001352FB">
      <w:pPr>
        <w:jc w:val="center"/>
        <w:rPr>
          <w:rFonts w:ascii="Garamond" w:hAnsi="Garamond" w:cs="Calibri"/>
          <w:b/>
          <w:sz w:val="22"/>
          <w:szCs w:val="22"/>
          <w:lang w:val="de-DE" w:eastAsia="zh-CN" w:bidi="fa-IR"/>
        </w:rPr>
      </w:pPr>
      <w:r w:rsidRPr="009E25F1">
        <w:rPr>
          <w:rFonts w:ascii="Garamond" w:hAnsi="Garamond" w:cs="Calibri"/>
          <w:b/>
          <w:sz w:val="22"/>
          <w:szCs w:val="22"/>
          <w:lang w:eastAsia="pl-PL" w:bidi="hi-IN"/>
        </w:rPr>
        <w:t xml:space="preserve">Dostawa stacji medycznych </w:t>
      </w:r>
      <w:r w:rsidR="00E66B8F" w:rsidRPr="009E25F1">
        <w:rPr>
          <w:rFonts w:ascii="Garamond" w:hAnsi="Garamond" w:cs="Calibri"/>
          <w:b/>
          <w:sz w:val="22"/>
          <w:szCs w:val="22"/>
          <w:lang w:eastAsia="pl-PL" w:bidi="hi-IN"/>
        </w:rPr>
        <w:t>(3</w:t>
      </w:r>
      <w:r w:rsidRPr="009E25F1">
        <w:rPr>
          <w:rFonts w:ascii="Garamond" w:hAnsi="Garamond" w:cs="Calibri"/>
          <w:b/>
          <w:sz w:val="22"/>
          <w:szCs w:val="22"/>
          <w:lang w:eastAsia="pl-PL" w:bidi="hi-IN"/>
        </w:rPr>
        <w:t>0 sztuk</w:t>
      </w:r>
      <w:r w:rsidR="00E66B8F" w:rsidRPr="009E25F1">
        <w:rPr>
          <w:rFonts w:ascii="Garamond" w:hAnsi="Garamond" w:cs="Calibri"/>
          <w:b/>
          <w:sz w:val="22"/>
          <w:szCs w:val="22"/>
          <w:lang w:eastAsia="pl-PL" w:bidi="hi-IN"/>
        </w:rPr>
        <w:t>)</w:t>
      </w:r>
    </w:p>
    <w:p w:rsidR="00A71690" w:rsidRPr="009E25F1" w:rsidRDefault="00A71690" w:rsidP="00E66B8F">
      <w:pPr>
        <w:spacing w:line="360" w:lineRule="atLeast"/>
        <w:ind w:left="1276" w:right="1246"/>
        <w:jc w:val="both"/>
        <w:textAlignment w:val="baseline"/>
        <w:rPr>
          <w:rFonts w:ascii="Garamond" w:hAnsi="Garamond" w:cs="Calibri"/>
          <w:sz w:val="22"/>
          <w:szCs w:val="22"/>
          <w:lang w:eastAsia="zh-CN"/>
        </w:rPr>
      </w:pPr>
    </w:p>
    <w:p w:rsidR="00484F4B" w:rsidRPr="009E25F1" w:rsidRDefault="00484F4B" w:rsidP="00C53912">
      <w:pPr>
        <w:widowControl/>
        <w:spacing w:line="288" w:lineRule="auto"/>
        <w:rPr>
          <w:rFonts w:ascii="Garamond" w:hAnsi="Garamond" w:cs="Calibri"/>
          <w:sz w:val="22"/>
          <w:szCs w:val="22"/>
          <w:u w:val="single"/>
          <w:lang w:eastAsia="zh-CN"/>
        </w:rPr>
      </w:pPr>
      <w:r w:rsidRPr="009E25F1">
        <w:rPr>
          <w:rFonts w:ascii="Garamond" w:hAnsi="Garamond" w:cs="Calibri"/>
          <w:sz w:val="22"/>
          <w:szCs w:val="22"/>
          <w:u w:val="single"/>
          <w:lang w:eastAsia="zh-CN"/>
        </w:rPr>
        <w:t>Uwagi i objaśnienia:</w:t>
      </w:r>
    </w:p>
    <w:p w:rsidR="00484F4B" w:rsidRPr="009E25F1" w:rsidRDefault="00484F4B" w:rsidP="00C53912">
      <w:pPr>
        <w:widowControl/>
        <w:spacing w:line="288" w:lineRule="auto"/>
        <w:rPr>
          <w:rFonts w:ascii="Garamond" w:hAnsi="Garamond" w:cs="Calibri"/>
          <w:sz w:val="22"/>
          <w:szCs w:val="22"/>
          <w:lang w:eastAsia="zh-CN"/>
        </w:rPr>
      </w:pPr>
    </w:p>
    <w:p w:rsidR="00484F4B" w:rsidRPr="009E25F1" w:rsidRDefault="00484F4B" w:rsidP="00C53912">
      <w:pPr>
        <w:widowControl/>
        <w:numPr>
          <w:ilvl w:val="0"/>
          <w:numId w:val="1"/>
        </w:numPr>
        <w:autoSpaceDN w:val="0"/>
        <w:spacing w:line="288" w:lineRule="auto"/>
        <w:jc w:val="both"/>
        <w:textAlignment w:val="baseline"/>
        <w:rPr>
          <w:rFonts w:ascii="Garamond" w:hAnsi="Garamond" w:cs="Calibri"/>
          <w:sz w:val="22"/>
          <w:szCs w:val="22"/>
          <w:lang w:eastAsia="zh-CN"/>
        </w:rPr>
      </w:pPr>
      <w:r w:rsidRPr="009E25F1">
        <w:rPr>
          <w:rFonts w:ascii="Garamond" w:hAnsi="Garamond" w:cs="Calibri"/>
          <w:sz w:val="22"/>
          <w:szCs w:val="22"/>
          <w:lang w:eastAsia="zh-CN"/>
        </w:rPr>
        <w:t>Parametry określone jako „tak” są parametrami granicznymi. Udzielenie odpowiedzi „nie”  lub innej nie stanowiącej jednoznacznego potwierdzenia spełniania warunku będzie skutkowało odrzuceniem oferty.</w:t>
      </w:r>
    </w:p>
    <w:p w:rsidR="00484F4B" w:rsidRPr="009E25F1" w:rsidRDefault="00484F4B" w:rsidP="00C53912">
      <w:pPr>
        <w:widowControl/>
        <w:numPr>
          <w:ilvl w:val="0"/>
          <w:numId w:val="1"/>
        </w:numPr>
        <w:autoSpaceDN w:val="0"/>
        <w:spacing w:line="288" w:lineRule="auto"/>
        <w:jc w:val="both"/>
        <w:textAlignment w:val="baseline"/>
        <w:rPr>
          <w:rFonts w:ascii="Garamond" w:hAnsi="Garamond" w:cs="Calibri"/>
          <w:sz w:val="22"/>
          <w:szCs w:val="22"/>
          <w:lang w:eastAsia="zh-CN"/>
        </w:rPr>
      </w:pPr>
      <w:r w:rsidRPr="009E25F1">
        <w:rPr>
          <w:rFonts w:ascii="Garamond" w:hAnsi="Garamond" w:cs="Calibri"/>
          <w:sz w:val="22"/>
          <w:szCs w:val="22"/>
          <w:lang w:eastAsia="zh-CN"/>
        </w:rPr>
        <w:t>Parametry o określonych warunkach liczbowych ( „=&gt;”  lub „&lt;=” ) są warunkami granicznymi, których niespełnienie spowoduje odrzucenie oferty. Wartość podana przy w/w oznaczeniach oznacza wartość wymaganą.</w:t>
      </w:r>
    </w:p>
    <w:p w:rsidR="00484F4B" w:rsidRPr="009E25F1" w:rsidRDefault="00484F4B" w:rsidP="00C53912">
      <w:pPr>
        <w:widowControl/>
        <w:numPr>
          <w:ilvl w:val="0"/>
          <w:numId w:val="1"/>
        </w:numPr>
        <w:autoSpaceDN w:val="0"/>
        <w:spacing w:line="288" w:lineRule="auto"/>
        <w:jc w:val="both"/>
        <w:textAlignment w:val="baseline"/>
        <w:rPr>
          <w:rFonts w:ascii="Garamond" w:hAnsi="Garamond" w:cs="Calibri"/>
          <w:sz w:val="22"/>
          <w:szCs w:val="22"/>
          <w:lang w:eastAsia="zh-CN"/>
        </w:rPr>
      </w:pPr>
      <w:r w:rsidRPr="009E25F1">
        <w:rPr>
          <w:rFonts w:ascii="Garamond" w:hAnsi="Garamond" w:cs="Calibri"/>
          <w:sz w:val="22"/>
          <w:szCs w:val="22"/>
          <w:lang w:eastAsia="zh-CN"/>
        </w:rPr>
        <w:t>Wykonawca zobowiązany jest do podania parametrów w jednostkach wskazanych w niniejszym opisie.</w:t>
      </w:r>
    </w:p>
    <w:p w:rsidR="00484F4B" w:rsidRPr="009E25F1" w:rsidRDefault="00484F4B" w:rsidP="00C53912">
      <w:pPr>
        <w:widowControl/>
        <w:numPr>
          <w:ilvl w:val="0"/>
          <w:numId w:val="1"/>
        </w:numPr>
        <w:autoSpaceDN w:val="0"/>
        <w:spacing w:line="288" w:lineRule="auto"/>
        <w:jc w:val="both"/>
        <w:textAlignment w:val="baseline"/>
        <w:rPr>
          <w:rFonts w:ascii="Garamond" w:hAnsi="Garamond" w:cs="Calibri"/>
          <w:sz w:val="22"/>
          <w:szCs w:val="22"/>
          <w:lang w:eastAsia="zh-CN"/>
        </w:rPr>
      </w:pPr>
      <w:r w:rsidRPr="009E25F1">
        <w:rPr>
          <w:rFonts w:ascii="Garamond" w:hAnsi="Garamond" w:cs="Calibri"/>
          <w:sz w:val="22"/>
          <w:szCs w:val="22"/>
          <w:lang w:eastAsia="zh-CN"/>
        </w:rPr>
        <w:t>Wykonawca gwarantuje niniejszym, że sprzęt jest fabrycznie nowy (rok produkcji</w:t>
      </w:r>
      <w:r w:rsidR="00CF6342" w:rsidRPr="009E25F1">
        <w:rPr>
          <w:rFonts w:ascii="Garamond" w:hAnsi="Garamond" w:cs="Calibri"/>
          <w:sz w:val="22"/>
          <w:szCs w:val="22"/>
          <w:lang w:eastAsia="zh-CN"/>
        </w:rPr>
        <w:t xml:space="preserve"> nie wcześniej</w:t>
      </w:r>
      <w:r w:rsidR="00586707" w:rsidRPr="009E25F1">
        <w:rPr>
          <w:rFonts w:ascii="Garamond" w:hAnsi="Garamond" w:cs="Calibri"/>
          <w:sz w:val="22"/>
          <w:szCs w:val="22"/>
          <w:lang w:eastAsia="zh-CN"/>
        </w:rPr>
        <w:t>: 2019</w:t>
      </w:r>
      <w:r w:rsidRPr="009E25F1">
        <w:rPr>
          <w:rFonts w:ascii="Garamond" w:hAnsi="Garamond" w:cs="Calibri"/>
          <w:sz w:val="22"/>
          <w:szCs w:val="22"/>
          <w:lang w:eastAsia="zh-CN"/>
        </w:rPr>
        <w:t>), nieużywany, kompletny i do jego uruchomienia oraz stosowania zgodnie z przeznaczeniem nie jest konieczny zakup dodatkowych elementów i akcesoriów.</w:t>
      </w:r>
    </w:p>
    <w:p w:rsidR="00873809" w:rsidRPr="009E25F1" w:rsidRDefault="00873809" w:rsidP="00873809">
      <w:pPr>
        <w:pStyle w:val="Zwykytekst"/>
        <w:rPr>
          <w:rFonts w:ascii="Garamond" w:hAnsi="Garamond"/>
          <w:szCs w:val="22"/>
        </w:rPr>
      </w:pPr>
      <w:r w:rsidRPr="009E25F1">
        <w:rPr>
          <w:rFonts w:ascii="Garamond" w:hAnsi="Garamond" w:cs="Calibri"/>
          <w:szCs w:val="22"/>
          <w:lang w:eastAsia="zh-CN"/>
        </w:rPr>
        <w:t xml:space="preserve">- </w:t>
      </w:r>
      <w:r w:rsidRPr="009E25F1">
        <w:rPr>
          <w:rFonts w:ascii="Garamond" w:hAnsi="Garamond"/>
          <w:szCs w:val="22"/>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484F4B" w:rsidRPr="009E25F1" w:rsidRDefault="00484F4B" w:rsidP="00C53912">
      <w:pPr>
        <w:widowControl/>
        <w:spacing w:line="288" w:lineRule="auto"/>
        <w:rPr>
          <w:rFonts w:ascii="Garamond" w:hAnsi="Garamond" w:cs="Calibri"/>
          <w:sz w:val="22"/>
          <w:szCs w:val="22"/>
          <w:lang w:eastAsia="zh-CN"/>
        </w:rPr>
      </w:pPr>
    </w:p>
    <w:p w:rsidR="00484F4B" w:rsidRPr="009E25F1" w:rsidRDefault="00484F4B" w:rsidP="00C53912">
      <w:pPr>
        <w:widowControl/>
        <w:suppressAutoHyphens w:val="0"/>
        <w:autoSpaceDE w:val="0"/>
        <w:adjustRightInd w:val="0"/>
        <w:spacing w:line="288" w:lineRule="auto"/>
        <w:rPr>
          <w:rFonts w:ascii="Garamond" w:hAnsi="Garamond" w:cs="Calibri"/>
          <w:kern w:val="0"/>
          <w:sz w:val="22"/>
          <w:szCs w:val="22"/>
          <w:lang w:eastAsia="pl-PL"/>
        </w:rPr>
      </w:pPr>
      <w:r w:rsidRPr="009E25F1">
        <w:rPr>
          <w:rFonts w:ascii="Garamond" w:hAnsi="Garamond" w:cs="Calibri"/>
          <w:kern w:val="0"/>
          <w:sz w:val="22"/>
          <w:szCs w:val="22"/>
          <w:lang w:eastAsia="pl-PL"/>
        </w:rPr>
        <w:t>Nazwa i typ: ............................................................</w:t>
      </w:r>
    </w:p>
    <w:p w:rsidR="00484F4B" w:rsidRPr="009E25F1" w:rsidRDefault="00484F4B" w:rsidP="00C53912">
      <w:pPr>
        <w:widowControl/>
        <w:suppressAutoHyphens w:val="0"/>
        <w:autoSpaceDE w:val="0"/>
        <w:adjustRightInd w:val="0"/>
        <w:spacing w:line="288" w:lineRule="auto"/>
        <w:rPr>
          <w:rFonts w:ascii="Garamond" w:hAnsi="Garamond" w:cs="Calibri"/>
          <w:kern w:val="0"/>
          <w:sz w:val="22"/>
          <w:szCs w:val="22"/>
          <w:lang w:eastAsia="pl-PL"/>
        </w:rPr>
      </w:pPr>
    </w:p>
    <w:p w:rsidR="00484F4B" w:rsidRPr="009E25F1" w:rsidRDefault="00484F4B" w:rsidP="00C53912">
      <w:pPr>
        <w:widowControl/>
        <w:suppressAutoHyphens w:val="0"/>
        <w:autoSpaceDE w:val="0"/>
        <w:adjustRightInd w:val="0"/>
        <w:spacing w:line="288" w:lineRule="auto"/>
        <w:rPr>
          <w:rFonts w:ascii="Garamond" w:hAnsi="Garamond" w:cs="Calibri"/>
          <w:b/>
          <w:kern w:val="0"/>
          <w:sz w:val="22"/>
          <w:szCs w:val="22"/>
          <w:lang w:eastAsia="pl-PL"/>
        </w:rPr>
      </w:pPr>
      <w:r w:rsidRPr="009E25F1">
        <w:rPr>
          <w:rFonts w:ascii="Garamond" w:hAnsi="Garamond" w:cs="Calibri"/>
          <w:kern w:val="0"/>
          <w:sz w:val="22"/>
          <w:szCs w:val="22"/>
          <w:lang w:eastAsia="pl-PL"/>
        </w:rPr>
        <w:t>Producent / kraj pochodzenia: ............................................................</w:t>
      </w:r>
    </w:p>
    <w:p w:rsidR="00484F4B" w:rsidRPr="009E25F1" w:rsidRDefault="00484F4B" w:rsidP="00C53912">
      <w:pPr>
        <w:widowControl/>
        <w:spacing w:line="288" w:lineRule="auto"/>
        <w:rPr>
          <w:rFonts w:ascii="Garamond" w:hAnsi="Garamond" w:cs="Calibri"/>
          <w:sz w:val="22"/>
          <w:szCs w:val="22"/>
          <w:lang w:eastAsia="zh-CN"/>
        </w:rPr>
      </w:pPr>
    </w:p>
    <w:p w:rsidR="00484F4B" w:rsidRPr="009E25F1" w:rsidRDefault="00EC7A69" w:rsidP="00C53912">
      <w:pPr>
        <w:widowControl/>
        <w:spacing w:line="288" w:lineRule="auto"/>
        <w:rPr>
          <w:rFonts w:ascii="Garamond" w:hAnsi="Garamond" w:cs="Calibri"/>
          <w:b/>
          <w:sz w:val="22"/>
          <w:szCs w:val="22"/>
          <w:lang w:eastAsia="zh-CN"/>
        </w:rPr>
      </w:pPr>
      <w:r w:rsidRPr="009E25F1">
        <w:rPr>
          <w:rFonts w:ascii="Garamond" w:hAnsi="Garamond" w:cs="Calibri"/>
          <w:sz w:val="22"/>
          <w:szCs w:val="22"/>
          <w:lang w:eastAsia="zh-CN"/>
        </w:rPr>
        <w:t>Rok produkcji</w:t>
      </w:r>
      <w:r w:rsidR="00586707" w:rsidRPr="009E25F1">
        <w:rPr>
          <w:rFonts w:ascii="Garamond" w:hAnsi="Garamond" w:cs="Calibri"/>
          <w:sz w:val="22"/>
          <w:szCs w:val="22"/>
          <w:lang w:eastAsia="zh-CN"/>
        </w:rPr>
        <w:t xml:space="preserve"> (najwcześniej 2019</w:t>
      </w:r>
      <w:r w:rsidR="00873809" w:rsidRPr="009E25F1">
        <w:rPr>
          <w:rFonts w:ascii="Garamond" w:hAnsi="Garamond" w:cs="Calibri"/>
          <w:sz w:val="22"/>
          <w:szCs w:val="22"/>
          <w:lang w:eastAsia="zh-CN"/>
        </w:rPr>
        <w:t>)</w:t>
      </w:r>
      <w:r w:rsidRPr="009E25F1">
        <w:rPr>
          <w:rFonts w:ascii="Garamond" w:hAnsi="Garamond" w:cs="Calibri"/>
          <w:sz w:val="22"/>
          <w:szCs w:val="22"/>
          <w:lang w:eastAsia="zh-CN"/>
        </w:rPr>
        <w:t xml:space="preserve"> </w:t>
      </w:r>
      <w:r w:rsidR="00484F4B" w:rsidRPr="009E25F1">
        <w:rPr>
          <w:rFonts w:ascii="Garamond" w:hAnsi="Garamond" w:cs="Calibri"/>
          <w:sz w:val="22"/>
          <w:szCs w:val="22"/>
          <w:lang w:eastAsia="zh-CN"/>
        </w:rPr>
        <w:t>: ............................................................</w:t>
      </w:r>
    </w:p>
    <w:p w:rsidR="00484F4B" w:rsidRPr="009E25F1" w:rsidRDefault="00484F4B" w:rsidP="00C53912">
      <w:pPr>
        <w:widowControl/>
        <w:spacing w:line="288" w:lineRule="auto"/>
        <w:rPr>
          <w:rFonts w:ascii="Garamond" w:hAnsi="Garamond" w:cs="Calibri"/>
          <w:sz w:val="22"/>
          <w:szCs w:val="22"/>
          <w:lang w:eastAsia="zh-CN"/>
        </w:rPr>
      </w:pPr>
    </w:p>
    <w:p w:rsidR="00484F4B" w:rsidRPr="009E25F1" w:rsidRDefault="00484F4B" w:rsidP="00C53912">
      <w:pPr>
        <w:widowControl/>
        <w:spacing w:line="288" w:lineRule="auto"/>
        <w:rPr>
          <w:rFonts w:ascii="Garamond" w:hAnsi="Garamond" w:cs="Calibri"/>
          <w:sz w:val="22"/>
          <w:szCs w:val="22"/>
          <w:lang w:eastAsia="zh-CN"/>
        </w:rPr>
      </w:pPr>
      <w:r w:rsidRPr="009E25F1">
        <w:rPr>
          <w:rFonts w:ascii="Garamond" w:hAnsi="Garamond" w:cs="Calibri"/>
          <w:sz w:val="22"/>
          <w:szCs w:val="22"/>
          <w:lang w:eastAsia="zh-CN"/>
        </w:rPr>
        <w:t>Klasa wyrobu medycznego: ............................................................</w:t>
      </w:r>
    </w:p>
    <w:p w:rsidR="00580FAC" w:rsidRPr="009E25F1" w:rsidRDefault="00580FAC" w:rsidP="00C53912">
      <w:pPr>
        <w:widowControl/>
        <w:spacing w:line="288" w:lineRule="auto"/>
        <w:rPr>
          <w:rFonts w:ascii="Garamond" w:hAnsi="Garamond" w:cs="Calibri"/>
          <w:sz w:val="22"/>
          <w:szCs w:val="22"/>
          <w:lang w:eastAsia="zh-CN"/>
        </w:rPr>
      </w:pPr>
    </w:p>
    <w:p w:rsidR="00580FAC" w:rsidRPr="009E25F1" w:rsidRDefault="00580FAC" w:rsidP="00C53912">
      <w:pPr>
        <w:widowControl/>
        <w:spacing w:line="288" w:lineRule="auto"/>
        <w:rPr>
          <w:rFonts w:ascii="Garamond" w:hAnsi="Garamond" w:cs="Calibri"/>
          <w:sz w:val="22"/>
          <w:szCs w:val="22"/>
          <w:lang w:eastAsia="zh-CN"/>
        </w:rPr>
      </w:pPr>
    </w:p>
    <w:p w:rsidR="00580FAC" w:rsidRPr="009E25F1" w:rsidRDefault="00580FAC" w:rsidP="00C53912">
      <w:pPr>
        <w:widowControl/>
        <w:spacing w:line="288" w:lineRule="auto"/>
        <w:rPr>
          <w:rFonts w:ascii="Garamond" w:hAnsi="Garamond" w:cs="Calibri"/>
          <w:b/>
          <w:bCs/>
          <w:i/>
          <w:iCs/>
          <w:sz w:val="22"/>
          <w:szCs w:val="22"/>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9E25F1" w:rsidRPr="009E25F1" w:rsidTr="00D53F2B">
        <w:trPr>
          <w:trHeight w:val="623"/>
        </w:trPr>
        <w:tc>
          <w:tcPr>
            <w:tcW w:w="3323" w:type="dxa"/>
            <w:tcBorders>
              <w:bottom w:val="single" w:sz="4" w:space="0" w:color="auto"/>
            </w:tcBorders>
            <w:shd w:val="clear" w:color="auto" w:fill="F2F2F2"/>
            <w:vAlign w:val="center"/>
          </w:tcPr>
          <w:p w:rsidR="00EC7A69" w:rsidRPr="009E25F1" w:rsidRDefault="00EC7A69" w:rsidP="00EC7A69">
            <w:pPr>
              <w:rPr>
                <w:rFonts w:ascii="Garamond" w:hAnsi="Garamond"/>
                <w:sz w:val="22"/>
                <w:szCs w:val="22"/>
              </w:rPr>
            </w:pPr>
            <w:r w:rsidRPr="009E25F1">
              <w:rPr>
                <w:rFonts w:ascii="Garamond" w:hAnsi="Garamond" w:cs="Arial"/>
                <w:b/>
                <w:bCs/>
                <w:sz w:val="22"/>
                <w:szCs w:val="22"/>
              </w:rPr>
              <w:lastRenderedPageBreak/>
              <w:br w:type="page"/>
            </w:r>
            <w:r w:rsidRPr="009E25F1">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rsidR="00EC7A69" w:rsidRPr="009E25F1" w:rsidRDefault="00EC7A69" w:rsidP="00727B09">
            <w:pPr>
              <w:jc w:val="center"/>
              <w:rPr>
                <w:rFonts w:ascii="Garamond" w:hAnsi="Garamond"/>
                <w:sz w:val="22"/>
                <w:szCs w:val="22"/>
              </w:rPr>
            </w:pPr>
            <w:r w:rsidRPr="009E25F1">
              <w:rPr>
                <w:rFonts w:ascii="Garamond" w:hAnsi="Garamond"/>
                <w:sz w:val="22"/>
                <w:szCs w:val="22"/>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9E25F1" w:rsidRDefault="00EC7A69" w:rsidP="00727B09">
            <w:pPr>
              <w:jc w:val="center"/>
              <w:rPr>
                <w:rFonts w:ascii="Garamond" w:hAnsi="Garamond"/>
                <w:sz w:val="22"/>
                <w:szCs w:val="22"/>
              </w:rPr>
            </w:pPr>
            <w:r w:rsidRPr="009E25F1">
              <w:rPr>
                <w:rFonts w:ascii="Garamond" w:hAnsi="Garamond"/>
                <w:sz w:val="22"/>
                <w:szCs w:val="22"/>
              </w:rPr>
              <w:t>Cena jednostkowa brutto sprzętu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9E25F1" w:rsidRDefault="00EC7A69" w:rsidP="00EC7A69">
            <w:pPr>
              <w:rPr>
                <w:rFonts w:ascii="Garamond" w:hAnsi="Garamond"/>
                <w:sz w:val="22"/>
                <w:szCs w:val="22"/>
              </w:rPr>
            </w:pPr>
            <w:r w:rsidRPr="009E25F1">
              <w:rPr>
                <w:rFonts w:ascii="Garamond" w:hAnsi="Garamond"/>
                <w:b/>
                <w:sz w:val="22"/>
                <w:szCs w:val="22"/>
              </w:rPr>
              <w:t>A:</w:t>
            </w:r>
            <w:r w:rsidRPr="009E25F1">
              <w:rPr>
                <w:rFonts w:ascii="Garamond" w:hAnsi="Garamond"/>
                <w:sz w:val="22"/>
                <w:szCs w:val="22"/>
              </w:rPr>
              <w:t xml:space="preserve"> Cena brutto sprzętu wraz z dostawą (w zł):</w:t>
            </w:r>
          </w:p>
        </w:tc>
      </w:tr>
      <w:tr w:rsidR="009E25F1" w:rsidRPr="009E25F1" w:rsidTr="00D53F2B">
        <w:trPr>
          <w:trHeight w:val="575"/>
        </w:trPr>
        <w:tc>
          <w:tcPr>
            <w:tcW w:w="3323" w:type="dxa"/>
            <w:tcBorders>
              <w:bottom w:val="single" w:sz="4" w:space="0" w:color="auto"/>
            </w:tcBorders>
            <w:shd w:val="clear" w:color="auto" w:fill="F2F2F2"/>
            <w:vAlign w:val="center"/>
          </w:tcPr>
          <w:p w:rsidR="00EC7A69" w:rsidRPr="009E25F1" w:rsidRDefault="00873809" w:rsidP="00EC7A69">
            <w:pPr>
              <w:rPr>
                <w:rFonts w:ascii="Garamond" w:hAnsi="Garamond"/>
                <w:sz w:val="22"/>
                <w:szCs w:val="22"/>
              </w:rPr>
            </w:pPr>
            <w:r w:rsidRPr="009E25F1">
              <w:rPr>
                <w:rFonts w:ascii="Garamond" w:hAnsi="Garamond" w:cs="Calibri"/>
                <w:sz w:val="22"/>
                <w:szCs w:val="22"/>
                <w:lang w:eastAsia="pl-PL" w:bidi="hi-IN"/>
              </w:rPr>
              <w:t>Dostawa stacji medycznych</w:t>
            </w:r>
          </w:p>
        </w:tc>
        <w:tc>
          <w:tcPr>
            <w:tcW w:w="1818" w:type="dxa"/>
            <w:tcBorders>
              <w:right w:val="single" w:sz="4" w:space="0" w:color="auto"/>
            </w:tcBorders>
            <w:shd w:val="clear" w:color="auto" w:fill="F2F2F2"/>
            <w:vAlign w:val="center"/>
          </w:tcPr>
          <w:p w:rsidR="00EC7A69" w:rsidRPr="009E25F1" w:rsidRDefault="00EC7A69" w:rsidP="00727B09">
            <w:pPr>
              <w:jc w:val="center"/>
              <w:rPr>
                <w:rFonts w:ascii="Garamond" w:hAnsi="Garamond"/>
                <w:sz w:val="22"/>
                <w:szCs w:val="22"/>
              </w:rPr>
            </w:pPr>
            <w:r w:rsidRPr="009E25F1">
              <w:rPr>
                <w:rFonts w:ascii="Garamond" w:hAnsi="Garamond"/>
                <w:sz w:val="22"/>
                <w:szCs w:val="22"/>
              </w:rPr>
              <w:t>3</w:t>
            </w:r>
            <w:r w:rsidR="00873809" w:rsidRPr="009E25F1">
              <w:rPr>
                <w:rFonts w:ascii="Garamond" w:hAnsi="Garamond"/>
                <w:sz w:val="22"/>
                <w:szCs w:val="22"/>
              </w:rPr>
              <w:t>0</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9E25F1" w:rsidRDefault="00EC7A69" w:rsidP="00EC7A69">
            <w:pPr>
              <w:rPr>
                <w:rFonts w:ascii="Garamond" w:eastAsia="Calibri" w:hAnsi="Garamond"/>
                <w:sz w:val="22"/>
                <w:szCs w:val="22"/>
                <w:lang w:eastAsia="en-US"/>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9E25F1" w:rsidRDefault="00EC7A69" w:rsidP="00EC7A69">
            <w:pPr>
              <w:rPr>
                <w:rFonts w:ascii="Garamond" w:eastAsia="Calibri" w:hAnsi="Garamond"/>
                <w:sz w:val="22"/>
                <w:szCs w:val="22"/>
                <w:lang w:eastAsia="en-US"/>
              </w:rPr>
            </w:pPr>
          </w:p>
        </w:tc>
      </w:tr>
    </w:tbl>
    <w:p w:rsidR="00484F4B" w:rsidRPr="009E25F1" w:rsidRDefault="00484F4B" w:rsidP="00C53912">
      <w:pPr>
        <w:widowControl/>
        <w:suppressAutoHyphens w:val="0"/>
        <w:spacing w:after="200" w:line="276" w:lineRule="auto"/>
        <w:rPr>
          <w:rFonts w:ascii="Garamond" w:hAnsi="Garamond" w:cs="Calibri"/>
          <w:b/>
          <w:bCs/>
          <w:i/>
          <w:iCs/>
          <w:sz w:val="22"/>
          <w:szCs w:val="22"/>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9E25F1" w:rsidRPr="009E25F1" w:rsidTr="00873809">
        <w:trPr>
          <w:trHeight w:val="70"/>
          <w:jc w:val="right"/>
        </w:trPr>
        <w:tc>
          <w:tcPr>
            <w:tcW w:w="443" w:type="dxa"/>
            <w:tcBorders>
              <w:top w:val="nil"/>
              <w:left w:val="nil"/>
              <w:bottom w:val="nil"/>
              <w:right w:val="nil"/>
            </w:tcBorders>
            <w:shd w:val="clear" w:color="auto" w:fill="auto"/>
          </w:tcPr>
          <w:p w:rsidR="00EC7A69" w:rsidRPr="009E25F1" w:rsidRDefault="00EC7A69" w:rsidP="00EC7A69">
            <w:pPr>
              <w:rPr>
                <w:rFonts w:ascii="Garamond" w:eastAsia="Calibri" w:hAnsi="Garamond"/>
                <w:sz w:val="22"/>
                <w:szCs w:val="22"/>
                <w:lang w:eastAsia="en-US"/>
              </w:rPr>
            </w:pPr>
          </w:p>
        </w:tc>
        <w:tc>
          <w:tcPr>
            <w:tcW w:w="5465" w:type="dxa"/>
            <w:tcBorders>
              <w:top w:val="single" w:sz="4" w:space="0" w:color="auto"/>
              <w:left w:val="single" w:sz="4" w:space="0" w:color="auto"/>
              <w:bottom w:val="single" w:sz="4" w:space="0" w:color="auto"/>
              <w:right w:val="single" w:sz="4" w:space="0" w:color="auto"/>
            </w:tcBorders>
            <w:shd w:val="clear" w:color="auto" w:fill="F2F2F2"/>
          </w:tcPr>
          <w:p w:rsidR="00EC7A69" w:rsidRPr="009E25F1" w:rsidRDefault="00EC7A69" w:rsidP="00EC7A69">
            <w:pPr>
              <w:rPr>
                <w:rFonts w:ascii="Garamond" w:eastAsia="Calibri" w:hAnsi="Garamond"/>
                <w:sz w:val="22"/>
                <w:szCs w:val="22"/>
                <w:lang w:eastAsia="en-US"/>
              </w:rPr>
            </w:pPr>
            <w:r w:rsidRPr="009E25F1">
              <w:rPr>
                <w:rFonts w:ascii="Garamond" w:eastAsia="Calibri" w:hAnsi="Garamond"/>
                <w:b/>
                <w:sz w:val="22"/>
                <w:szCs w:val="22"/>
                <w:lang w:eastAsia="en-US"/>
              </w:rPr>
              <w:t>B:</w:t>
            </w:r>
            <w:r w:rsidRPr="009E25F1">
              <w:rPr>
                <w:rFonts w:ascii="Garamond" w:eastAsia="Calibri" w:hAnsi="Garamond"/>
                <w:sz w:val="22"/>
                <w:szCs w:val="22"/>
                <w:lang w:eastAsia="en-US"/>
              </w:rPr>
              <w:t xml:space="preserve"> Cena brutto</w:t>
            </w:r>
            <w:r w:rsidRPr="009E25F1">
              <w:rPr>
                <w:rFonts w:ascii="Garamond" w:hAnsi="Garamond"/>
                <w:bCs/>
                <w:sz w:val="22"/>
                <w:szCs w:val="22"/>
              </w:rPr>
              <w:t xml:space="preserve"> instal</w:t>
            </w:r>
            <w:r w:rsidRPr="009E25F1">
              <w:rPr>
                <w:rFonts w:ascii="Garamond" w:eastAsia="Calibri" w:hAnsi="Garamond"/>
                <w:sz w:val="22"/>
                <w:szCs w:val="22"/>
                <w:lang w:eastAsia="en-US"/>
              </w:rPr>
              <w:t>acji, uruchomienia w Nowej siedziby Szpitala (w zł):</w:t>
            </w:r>
          </w:p>
        </w:tc>
      </w:tr>
      <w:tr w:rsidR="00EC7A69" w:rsidRPr="009E25F1" w:rsidTr="00873809">
        <w:trPr>
          <w:trHeight w:val="751"/>
          <w:jc w:val="right"/>
        </w:trPr>
        <w:tc>
          <w:tcPr>
            <w:tcW w:w="443" w:type="dxa"/>
            <w:tcBorders>
              <w:top w:val="nil"/>
              <w:left w:val="nil"/>
              <w:bottom w:val="nil"/>
              <w:right w:val="nil"/>
            </w:tcBorders>
            <w:shd w:val="clear" w:color="auto" w:fill="auto"/>
          </w:tcPr>
          <w:p w:rsidR="00EC7A69" w:rsidRPr="009E25F1" w:rsidRDefault="00EC7A69" w:rsidP="00EC7A69">
            <w:pPr>
              <w:rPr>
                <w:rFonts w:ascii="Garamond" w:eastAsia="Calibri" w:hAnsi="Garamond"/>
                <w:sz w:val="22"/>
                <w:szCs w:val="22"/>
                <w:lang w:eastAsia="en-US"/>
              </w:rPr>
            </w:pPr>
          </w:p>
        </w:tc>
        <w:tc>
          <w:tcPr>
            <w:tcW w:w="5465" w:type="dxa"/>
            <w:tcBorders>
              <w:left w:val="single" w:sz="4" w:space="0" w:color="auto"/>
            </w:tcBorders>
            <w:shd w:val="clear" w:color="auto" w:fill="auto"/>
            <w:vAlign w:val="center"/>
          </w:tcPr>
          <w:p w:rsidR="00EC7A69" w:rsidRPr="009E25F1" w:rsidRDefault="00EC7A69" w:rsidP="00EC7A69">
            <w:pPr>
              <w:rPr>
                <w:rFonts w:ascii="Garamond" w:eastAsia="Calibri" w:hAnsi="Garamond"/>
                <w:sz w:val="22"/>
                <w:szCs w:val="22"/>
                <w:lang w:eastAsia="en-US"/>
              </w:rPr>
            </w:pPr>
          </w:p>
        </w:tc>
      </w:tr>
    </w:tbl>
    <w:p w:rsidR="00484F4B" w:rsidRPr="009E25F1" w:rsidRDefault="00484F4B" w:rsidP="00C53912">
      <w:pPr>
        <w:widowControl/>
        <w:suppressAutoHyphens w:val="0"/>
        <w:spacing w:after="200" w:line="276" w:lineRule="auto"/>
        <w:rPr>
          <w:rFonts w:ascii="Garamond" w:hAnsi="Garamond" w:cs="Calibri"/>
          <w:b/>
          <w:bCs/>
          <w:i/>
          <w:iCs/>
          <w:sz w:val="22"/>
          <w:szCs w:val="22"/>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5"/>
      </w:tblGrid>
      <w:tr w:rsidR="009E25F1" w:rsidRPr="009E25F1" w:rsidTr="00873809">
        <w:trPr>
          <w:trHeight w:val="70"/>
          <w:jc w:val="right"/>
        </w:trPr>
        <w:tc>
          <w:tcPr>
            <w:tcW w:w="5465" w:type="dxa"/>
            <w:tcBorders>
              <w:top w:val="single" w:sz="4" w:space="0" w:color="auto"/>
              <w:left w:val="single" w:sz="4" w:space="0" w:color="auto"/>
              <w:bottom w:val="single" w:sz="4" w:space="0" w:color="auto"/>
              <w:right w:val="single" w:sz="4" w:space="0" w:color="auto"/>
            </w:tcBorders>
            <w:shd w:val="clear" w:color="auto" w:fill="F2F2F2"/>
          </w:tcPr>
          <w:p w:rsidR="00EC7A69" w:rsidRPr="009E25F1" w:rsidRDefault="00EC7A69" w:rsidP="00EC7A69">
            <w:pPr>
              <w:rPr>
                <w:rFonts w:ascii="Garamond" w:eastAsia="Calibri" w:hAnsi="Garamond"/>
                <w:sz w:val="22"/>
                <w:szCs w:val="22"/>
                <w:lang w:eastAsia="en-US"/>
              </w:rPr>
            </w:pPr>
            <w:r w:rsidRPr="009E25F1">
              <w:rPr>
                <w:rFonts w:ascii="Garamond" w:eastAsia="Calibri" w:hAnsi="Garamond"/>
                <w:b/>
                <w:sz w:val="22"/>
                <w:szCs w:val="22"/>
                <w:lang w:eastAsia="en-US"/>
              </w:rPr>
              <w:t xml:space="preserve">C: </w:t>
            </w:r>
            <w:r w:rsidRPr="009E25F1">
              <w:rPr>
                <w:rFonts w:ascii="Garamond" w:hAnsi="Garamond"/>
                <w:sz w:val="22"/>
                <w:szCs w:val="22"/>
              </w:rPr>
              <w:t>Cena brutto szkoleń w nowej siedzibie Szpitala Uniwersyteckiego</w:t>
            </w:r>
            <w:r w:rsidRPr="009E25F1">
              <w:rPr>
                <w:rFonts w:ascii="Garamond" w:eastAsia="Calibri" w:hAnsi="Garamond"/>
                <w:sz w:val="22"/>
                <w:szCs w:val="22"/>
                <w:lang w:eastAsia="en-US"/>
              </w:rPr>
              <w:t xml:space="preserve"> (w zł):</w:t>
            </w:r>
          </w:p>
        </w:tc>
      </w:tr>
      <w:tr w:rsidR="00EC7A69" w:rsidRPr="009E25F1" w:rsidTr="00873809">
        <w:trPr>
          <w:trHeight w:val="631"/>
          <w:jc w:val="right"/>
        </w:trPr>
        <w:tc>
          <w:tcPr>
            <w:tcW w:w="5465" w:type="dxa"/>
            <w:tcBorders>
              <w:left w:val="single" w:sz="4" w:space="0" w:color="auto"/>
            </w:tcBorders>
            <w:shd w:val="clear" w:color="auto" w:fill="auto"/>
            <w:vAlign w:val="center"/>
          </w:tcPr>
          <w:p w:rsidR="00EC7A69" w:rsidRPr="009E25F1" w:rsidRDefault="00EC7A69" w:rsidP="00EC7A69">
            <w:pPr>
              <w:rPr>
                <w:rFonts w:ascii="Garamond" w:eastAsia="Calibri" w:hAnsi="Garamond"/>
                <w:sz w:val="22"/>
                <w:szCs w:val="22"/>
                <w:lang w:eastAsia="en-US"/>
              </w:rPr>
            </w:pPr>
          </w:p>
        </w:tc>
      </w:tr>
    </w:tbl>
    <w:p w:rsidR="00727B09" w:rsidRPr="009E25F1" w:rsidRDefault="00727B09" w:rsidP="00727B09">
      <w:pPr>
        <w:rPr>
          <w:rFonts w:ascii="Garamond" w:hAnsi="Garamond"/>
          <w:vanish/>
          <w:sz w:val="22"/>
          <w:szCs w:val="22"/>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9E25F1" w:rsidRPr="009E25F1" w:rsidTr="00873809">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7A69" w:rsidRPr="009E25F1" w:rsidRDefault="00EC7A69" w:rsidP="00EC7A69">
            <w:pPr>
              <w:snapToGrid w:val="0"/>
              <w:jc w:val="center"/>
              <w:rPr>
                <w:rFonts w:ascii="Garamond" w:hAnsi="Garamond"/>
                <w:bCs/>
                <w:sz w:val="22"/>
                <w:szCs w:val="22"/>
              </w:rPr>
            </w:pPr>
            <w:r w:rsidRPr="009E25F1">
              <w:rPr>
                <w:rFonts w:ascii="Garamond" w:hAnsi="Garamond"/>
                <w:b/>
                <w:bCs/>
                <w:sz w:val="22"/>
                <w:szCs w:val="22"/>
              </w:rPr>
              <w:t>A+ B + C</w:t>
            </w:r>
            <w:r w:rsidRPr="009E25F1">
              <w:rPr>
                <w:rFonts w:ascii="Garamond" w:hAnsi="Garamond"/>
                <w:bCs/>
                <w:sz w:val="22"/>
                <w:szCs w:val="22"/>
              </w:rPr>
              <w:t xml:space="preserve">: Cena brutto oferty </w:t>
            </w:r>
            <w:r w:rsidRPr="009E25F1">
              <w:rPr>
                <w:rFonts w:ascii="Garamond" w:hAnsi="Garamond"/>
                <w:sz w:val="22"/>
                <w:szCs w:val="22"/>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A69" w:rsidRPr="009E25F1" w:rsidRDefault="00EC7A69" w:rsidP="00EC7A69">
            <w:pPr>
              <w:snapToGrid w:val="0"/>
              <w:rPr>
                <w:rFonts w:ascii="Garamond" w:hAnsi="Garamond"/>
                <w:bCs/>
                <w:sz w:val="22"/>
                <w:szCs w:val="22"/>
              </w:rPr>
            </w:pPr>
          </w:p>
        </w:tc>
      </w:tr>
    </w:tbl>
    <w:p w:rsidR="00E93C67" w:rsidRPr="009E25F1" w:rsidRDefault="00E93C67" w:rsidP="00C53912">
      <w:pPr>
        <w:widowControl/>
        <w:suppressAutoHyphens w:val="0"/>
        <w:spacing w:after="200" w:line="276" w:lineRule="auto"/>
        <w:rPr>
          <w:rFonts w:ascii="Garamond" w:hAnsi="Garamond" w:cs="Calibri"/>
          <w:b/>
          <w:bCs/>
          <w:i/>
          <w:iCs/>
          <w:sz w:val="22"/>
          <w:szCs w:val="22"/>
          <w:shd w:val="clear" w:color="auto" w:fill="CCCCCC"/>
          <w:lang w:eastAsia="zh-CN"/>
        </w:rPr>
      </w:pPr>
    </w:p>
    <w:p w:rsidR="00484F4B" w:rsidRPr="009E25F1" w:rsidRDefault="00484F4B" w:rsidP="00C53912">
      <w:pPr>
        <w:widowControl/>
        <w:suppressAutoHyphens w:val="0"/>
        <w:spacing w:after="200" w:line="276" w:lineRule="auto"/>
        <w:rPr>
          <w:rFonts w:ascii="Garamond" w:hAnsi="Garamond" w:cs="Calibri"/>
          <w:b/>
          <w:bCs/>
          <w:i/>
          <w:iCs/>
          <w:sz w:val="22"/>
          <w:szCs w:val="22"/>
          <w:shd w:val="clear" w:color="auto" w:fill="CCCCCC"/>
          <w:lang w:eastAsia="zh-CN"/>
        </w:rPr>
      </w:pPr>
    </w:p>
    <w:p w:rsidR="00484F4B" w:rsidRPr="009E25F1" w:rsidRDefault="00484F4B" w:rsidP="00C53912">
      <w:pPr>
        <w:widowControl/>
        <w:suppressAutoHyphens w:val="0"/>
        <w:spacing w:after="200" w:line="276" w:lineRule="auto"/>
        <w:rPr>
          <w:rFonts w:ascii="Garamond" w:hAnsi="Garamond" w:cs="Calibri"/>
          <w:b/>
          <w:bCs/>
          <w:i/>
          <w:iCs/>
          <w:sz w:val="22"/>
          <w:szCs w:val="22"/>
          <w:shd w:val="clear" w:color="auto" w:fill="CCCCCC"/>
          <w:lang w:eastAsia="zh-CN"/>
        </w:rPr>
      </w:pPr>
    </w:p>
    <w:p w:rsidR="00484F4B" w:rsidRPr="009E25F1" w:rsidRDefault="00484F4B" w:rsidP="00C53912">
      <w:pPr>
        <w:widowControl/>
        <w:suppressAutoHyphens w:val="0"/>
        <w:spacing w:after="200" w:line="276" w:lineRule="auto"/>
        <w:rPr>
          <w:rFonts w:ascii="Garamond" w:hAnsi="Garamond" w:cs="Calibri"/>
          <w:b/>
          <w:bCs/>
          <w:i/>
          <w:iCs/>
          <w:sz w:val="22"/>
          <w:szCs w:val="22"/>
          <w:shd w:val="clear" w:color="auto" w:fill="CCCCCC"/>
          <w:lang w:eastAsia="zh-CN"/>
        </w:rPr>
      </w:pPr>
    </w:p>
    <w:p w:rsidR="00484F4B" w:rsidRPr="009E25F1" w:rsidRDefault="00484F4B" w:rsidP="00C53912">
      <w:pPr>
        <w:rPr>
          <w:rFonts w:ascii="Garamond" w:hAnsi="Garamond" w:cs="Calibri"/>
          <w:sz w:val="22"/>
          <w:szCs w:val="22"/>
          <w:lang w:eastAsia="zh-CN"/>
        </w:rPr>
      </w:pPr>
    </w:p>
    <w:p w:rsidR="00CF0900" w:rsidRPr="009E25F1" w:rsidRDefault="00CF0900" w:rsidP="00C53912">
      <w:pPr>
        <w:rPr>
          <w:rFonts w:ascii="Garamond" w:hAnsi="Garamond" w:cs="Calibri"/>
          <w:sz w:val="22"/>
          <w:szCs w:val="22"/>
          <w:lang w:eastAsia="zh-CN"/>
        </w:rPr>
      </w:pPr>
    </w:p>
    <w:p w:rsidR="005A70AC" w:rsidRPr="009E25F1" w:rsidRDefault="005A70AC" w:rsidP="005A70AC">
      <w:pPr>
        <w:rPr>
          <w:rFonts w:ascii="Garamond" w:hAnsi="Garamond" w:cs="Calibri"/>
          <w:sz w:val="22"/>
          <w:szCs w:val="22"/>
          <w:lang w:val="de-DE" w:eastAsia="zh-CN" w:bidi="fa-IR"/>
        </w:rPr>
      </w:pPr>
    </w:p>
    <w:p w:rsidR="00BC7CD5" w:rsidRPr="009E25F1" w:rsidRDefault="00BC7CD5" w:rsidP="00BC7CD5">
      <w:pPr>
        <w:rPr>
          <w:lang w:val="de-DE" w:eastAsia="zh-CN" w:bidi="fa-IR"/>
        </w:rPr>
      </w:pPr>
    </w:p>
    <w:p w:rsidR="00BC7CD5" w:rsidRPr="009E25F1" w:rsidRDefault="00BC7CD5" w:rsidP="00BC7CD5">
      <w:pPr>
        <w:rPr>
          <w:lang w:val="de-DE" w:eastAsia="zh-CN" w:bidi="fa-IR"/>
        </w:rPr>
      </w:pPr>
    </w:p>
    <w:p w:rsidR="00C0702A" w:rsidRPr="009E25F1" w:rsidRDefault="00C0702A" w:rsidP="00C0702A">
      <w:pPr>
        <w:pStyle w:val="Nagwek2"/>
        <w:numPr>
          <w:ilvl w:val="0"/>
          <w:numId w:val="6"/>
        </w:numPr>
        <w:rPr>
          <w:rFonts w:asciiTheme="minorHAnsi" w:hAnsiTheme="minorHAnsi" w:cstheme="minorHAnsi"/>
        </w:rPr>
      </w:pPr>
      <w:r w:rsidRPr="009E25F1">
        <w:rPr>
          <w:rFonts w:asciiTheme="minorHAnsi" w:hAnsiTheme="minorHAnsi" w:cstheme="minorHAnsi"/>
          <w:sz w:val="24"/>
          <w:szCs w:val="24"/>
          <w:lang w:eastAsia="zh-CN"/>
        </w:rPr>
        <w:lastRenderedPageBreak/>
        <w:t>PARAMETRY TECHNICZNE I EKSPLOATACYJNE</w:t>
      </w:r>
    </w:p>
    <w:tbl>
      <w:tblPr>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8233"/>
        <w:gridCol w:w="1418"/>
        <w:gridCol w:w="2409"/>
        <w:gridCol w:w="1560"/>
      </w:tblGrid>
      <w:tr w:rsidR="009E25F1" w:rsidRPr="009E25F1" w:rsidTr="00845B14">
        <w:trPr>
          <w:trHeight w:val="742"/>
          <w:tblHeader/>
        </w:trPr>
        <w:tc>
          <w:tcPr>
            <w:tcW w:w="469" w:type="dxa"/>
            <w:vAlign w:val="center"/>
          </w:tcPr>
          <w:p w:rsidR="00C0702A" w:rsidRPr="009E25F1" w:rsidRDefault="00C0702A" w:rsidP="00845B14">
            <w:pPr>
              <w:pStyle w:val="Zawartotabeli"/>
              <w:snapToGrid w:val="0"/>
              <w:jc w:val="center"/>
              <w:rPr>
                <w:rFonts w:asciiTheme="minorHAnsi" w:hAnsiTheme="minorHAnsi" w:cstheme="minorHAnsi"/>
                <w:b/>
                <w:sz w:val="18"/>
                <w:szCs w:val="18"/>
              </w:rPr>
            </w:pPr>
            <w:r w:rsidRPr="009E25F1">
              <w:rPr>
                <w:rFonts w:asciiTheme="minorHAnsi" w:hAnsiTheme="minorHAnsi" w:cstheme="minorHAnsi"/>
                <w:b/>
                <w:sz w:val="18"/>
                <w:szCs w:val="18"/>
              </w:rPr>
              <w:lastRenderedPageBreak/>
              <w:t>L.p.</w:t>
            </w:r>
          </w:p>
        </w:tc>
        <w:tc>
          <w:tcPr>
            <w:tcW w:w="8233" w:type="dxa"/>
            <w:vAlign w:val="center"/>
          </w:tcPr>
          <w:p w:rsidR="00C0702A" w:rsidRPr="009E25F1" w:rsidRDefault="00C0702A" w:rsidP="00845B14">
            <w:pPr>
              <w:pStyle w:val="Zawartotabeli"/>
              <w:snapToGrid w:val="0"/>
              <w:jc w:val="center"/>
              <w:rPr>
                <w:rFonts w:asciiTheme="minorHAnsi" w:hAnsiTheme="minorHAnsi" w:cstheme="minorHAnsi"/>
                <w:b/>
                <w:sz w:val="20"/>
                <w:szCs w:val="20"/>
              </w:rPr>
            </w:pPr>
            <w:r w:rsidRPr="009E25F1">
              <w:rPr>
                <w:rFonts w:asciiTheme="minorHAnsi" w:hAnsiTheme="minorHAnsi" w:cstheme="minorHAnsi"/>
                <w:b/>
                <w:sz w:val="20"/>
                <w:szCs w:val="20"/>
              </w:rPr>
              <w:t>Opis parametru</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b/>
                <w:sz w:val="20"/>
                <w:szCs w:val="20"/>
              </w:rPr>
            </w:pPr>
            <w:r w:rsidRPr="009E25F1">
              <w:rPr>
                <w:rFonts w:asciiTheme="minorHAnsi" w:hAnsiTheme="minorHAnsi" w:cstheme="minorHAnsi"/>
                <w:b/>
                <w:sz w:val="20"/>
                <w:szCs w:val="20"/>
              </w:rPr>
              <w:t>Parametr wymagany/ wartość</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b/>
                <w:sz w:val="20"/>
                <w:szCs w:val="20"/>
              </w:rPr>
            </w:pPr>
            <w:r w:rsidRPr="009E25F1">
              <w:rPr>
                <w:rFonts w:asciiTheme="minorHAnsi" w:hAnsiTheme="minorHAnsi" w:cstheme="minorHAnsi"/>
                <w:b/>
                <w:sz w:val="20"/>
                <w:szCs w:val="20"/>
              </w:rPr>
              <w:t>Parametr oferowany</w:t>
            </w:r>
          </w:p>
        </w:tc>
        <w:tc>
          <w:tcPr>
            <w:tcW w:w="1560" w:type="dxa"/>
            <w:vAlign w:val="center"/>
          </w:tcPr>
          <w:p w:rsidR="00C0702A" w:rsidRPr="009E25F1" w:rsidRDefault="00C0702A" w:rsidP="00845B14">
            <w:pPr>
              <w:pStyle w:val="Zawartotabeli"/>
              <w:snapToGrid w:val="0"/>
              <w:jc w:val="center"/>
              <w:rPr>
                <w:rFonts w:asciiTheme="minorHAnsi" w:hAnsiTheme="minorHAnsi" w:cstheme="minorHAnsi"/>
                <w:b/>
                <w:sz w:val="20"/>
                <w:szCs w:val="20"/>
              </w:rPr>
            </w:pPr>
            <w:r w:rsidRPr="009E25F1">
              <w:rPr>
                <w:rFonts w:asciiTheme="minorHAnsi" w:hAnsiTheme="minorHAnsi" w:cstheme="minorHAnsi"/>
                <w:b/>
                <w:sz w:val="20"/>
                <w:szCs w:val="20"/>
              </w:rPr>
              <w:t>Sposób oceny parametru</w:t>
            </w:r>
          </w:p>
        </w:tc>
      </w:tr>
      <w:tr w:rsidR="009E25F1" w:rsidRPr="009E25F1" w:rsidTr="00845B14">
        <w:trPr>
          <w:trHeight w:val="315"/>
          <w:tblHeader/>
        </w:trPr>
        <w:tc>
          <w:tcPr>
            <w:tcW w:w="469" w:type="dxa"/>
            <w:shd w:val="clear" w:color="auto" w:fill="EEECE1"/>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1.</w:t>
            </w:r>
          </w:p>
        </w:tc>
        <w:tc>
          <w:tcPr>
            <w:tcW w:w="13620" w:type="dxa"/>
            <w:gridSpan w:val="4"/>
            <w:shd w:val="clear" w:color="auto" w:fill="EEECE1"/>
            <w:vAlign w:val="center"/>
          </w:tcPr>
          <w:p w:rsidR="00C0702A" w:rsidRPr="009E25F1" w:rsidRDefault="00C0702A" w:rsidP="00845B14">
            <w:pPr>
              <w:pStyle w:val="Zawartotabeli"/>
              <w:snapToGrid w:val="0"/>
              <w:rPr>
                <w:rFonts w:asciiTheme="minorHAnsi" w:hAnsiTheme="minorHAnsi" w:cstheme="minorHAnsi"/>
                <w:b/>
                <w:sz w:val="18"/>
                <w:szCs w:val="18"/>
              </w:rPr>
            </w:pPr>
            <w:r w:rsidRPr="009E25F1">
              <w:rPr>
                <w:rFonts w:asciiTheme="minorHAnsi" w:hAnsiTheme="minorHAnsi" w:cstheme="minorHAnsi"/>
                <w:b/>
                <w:sz w:val="18"/>
                <w:szCs w:val="18"/>
              </w:rPr>
              <w:t>Informacje Ogólne</w:t>
            </w:r>
          </w:p>
        </w:tc>
      </w:tr>
      <w:tr w:rsidR="009E25F1" w:rsidRPr="009E25F1" w:rsidTr="00845B14">
        <w:trPr>
          <w:tblHeader/>
        </w:trPr>
        <w:tc>
          <w:tcPr>
            <w:tcW w:w="46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2.</w:t>
            </w:r>
          </w:p>
        </w:tc>
        <w:tc>
          <w:tcPr>
            <w:tcW w:w="8233" w:type="dxa"/>
            <w:vAlign w:val="center"/>
          </w:tcPr>
          <w:p w:rsidR="00C0702A" w:rsidRPr="009E25F1" w:rsidRDefault="00C0702A" w:rsidP="00845B14">
            <w:pPr>
              <w:pStyle w:val="Zawartotabeli"/>
              <w:snapToGrid w:val="0"/>
              <w:jc w:val="both"/>
              <w:rPr>
                <w:rFonts w:asciiTheme="minorHAnsi" w:hAnsiTheme="minorHAnsi" w:cstheme="minorHAnsi"/>
                <w:b/>
                <w:sz w:val="18"/>
                <w:szCs w:val="18"/>
              </w:rPr>
            </w:pPr>
            <w:r w:rsidRPr="009E25F1">
              <w:rPr>
                <w:rFonts w:asciiTheme="minorHAnsi" w:hAnsiTheme="minorHAnsi" w:cstheme="minorHAnsi"/>
                <w:sz w:val="18"/>
                <w:szCs w:val="18"/>
              </w:rPr>
              <w:t xml:space="preserve">Stacje fabrycznie nowe, z elementami systemu pozwalającymi na dostawę, montaż, podłączenie oraz uruchomienie, każda wyposażona w klawiaturę QWERTY oraz mysz optyczną. </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Tak</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Bez oceny</w:t>
            </w:r>
          </w:p>
        </w:tc>
      </w:tr>
      <w:tr w:rsidR="009E25F1" w:rsidRPr="009E25F1" w:rsidTr="00845B14">
        <w:tblPrEx>
          <w:tblLook w:val="0000" w:firstRow="0" w:lastRow="0" w:firstColumn="0" w:lastColumn="0" w:noHBand="0" w:noVBand="0"/>
        </w:tblPrEx>
        <w:trPr>
          <w:trHeight w:val="213"/>
          <w:tblHeader/>
        </w:trPr>
        <w:tc>
          <w:tcPr>
            <w:tcW w:w="469" w:type="dxa"/>
            <w:shd w:val="clear" w:color="auto" w:fill="EEECE1"/>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3.</w:t>
            </w:r>
          </w:p>
        </w:tc>
        <w:tc>
          <w:tcPr>
            <w:tcW w:w="8233" w:type="dxa"/>
            <w:shd w:val="clear" w:color="auto" w:fill="EEECE1"/>
            <w:vAlign w:val="center"/>
          </w:tcPr>
          <w:p w:rsidR="00C0702A" w:rsidRPr="009E25F1" w:rsidRDefault="00C0702A" w:rsidP="00845B14">
            <w:pPr>
              <w:snapToGrid w:val="0"/>
              <w:rPr>
                <w:rFonts w:asciiTheme="minorHAnsi" w:hAnsiTheme="minorHAnsi" w:cstheme="minorHAnsi"/>
                <w:sz w:val="18"/>
                <w:szCs w:val="18"/>
              </w:rPr>
            </w:pPr>
            <w:r w:rsidRPr="009E25F1">
              <w:rPr>
                <w:rFonts w:asciiTheme="minorHAnsi" w:hAnsiTheme="minorHAnsi" w:cstheme="minorHAnsi"/>
                <w:b/>
                <w:sz w:val="18"/>
                <w:szCs w:val="18"/>
              </w:rPr>
              <w:t>Stacja medyczna poglądowa, stomatologiczne – 4 sztuki</w:t>
            </w:r>
          </w:p>
        </w:tc>
        <w:tc>
          <w:tcPr>
            <w:tcW w:w="1418" w:type="dxa"/>
            <w:shd w:val="clear" w:color="auto" w:fill="EEECE1"/>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2409" w:type="dxa"/>
            <w:shd w:val="clear" w:color="auto" w:fill="EEECE1"/>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shd w:val="clear" w:color="auto" w:fill="EEECE1"/>
          </w:tcPr>
          <w:p w:rsidR="00C0702A" w:rsidRPr="009E25F1" w:rsidRDefault="00C0702A" w:rsidP="00845B14">
            <w:pPr>
              <w:pStyle w:val="Zawartotabeli"/>
              <w:snapToGrid w:val="0"/>
              <w:jc w:val="center"/>
              <w:rPr>
                <w:rFonts w:asciiTheme="minorHAnsi" w:hAnsiTheme="minorHAnsi" w:cstheme="minorHAnsi"/>
                <w:sz w:val="18"/>
                <w:szCs w:val="18"/>
              </w:rPr>
            </w:pPr>
          </w:p>
        </w:tc>
      </w:tr>
      <w:tr w:rsidR="009E25F1" w:rsidRPr="009E25F1" w:rsidTr="00845B14">
        <w:tblPrEx>
          <w:tblLook w:val="0000" w:firstRow="0" w:lastRow="0" w:firstColumn="0" w:lastColumn="0" w:noHBand="0" w:noVBand="0"/>
        </w:tblPrEx>
        <w:trPr>
          <w:trHeight w:val="1451"/>
          <w:tblHeader/>
        </w:trPr>
        <w:tc>
          <w:tcPr>
            <w:tcW w:w="469" w:type="dxa"/>
            <w:tcBorders>
              <w:bottom w:val="single" w:sz="4" w:space="0" w:color="auto"/>
            </w:tcBorders>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4.</w:t>
            </w:r>
          </w:p>
        </w:tc>
        <w:tc>
          <w:tcPr>
            <w:tcW w:w="8233" w:type="dxa"/>
            <w:tcBorders>
              <w:bottom w:val="single" w:sz="4" w:space="0" w:color="auto"/>
            </w:tcBorders>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Stacja medyczna, poglądowa do zastosowania w pantomografii i tomografii stomatologicznej, spełniająca aktualne wymogi prawne .</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Każda wyposażona w:</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a. komputer z profesjonalny, 64-bitowym systemem operacyjnym z aktualnym wsparciem i aktualizacjami, o parametrach nie niższych niż:</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 pamięć RAM: min. 8 GB, </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HDD: SSD min 256GB,</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 procesor klasy min. Intel </w:t>
            </w:r>
            <w:proofErr w:type="spellStart"/>
            <w:r w:rsidRPr="009E25F1">
              <w:rPr>
                <w:rFonts w:asciiTheme="minorHAnsi" w:hAnsiTheme="minorHAnsi" w:cstheme="minorHAnsi"/>
                <w:iCs/>
                <w:sz w:val="18"/>
                <w:szCs w:val="18"/>
              </w:rPr>
              <w:t>Core</w:t>
            </w:r>
            <w:proofErr w:type="spellEnd"/>
            <w:r w:rsidRPr="009E25F1">
              <w:rPr>
                <w:rFonts w:asciiTheme="minorHAnsi" w:hAnsiTheme="minorHAnsi" w:cstheme="minorHAnsi"/>
                <w:iCs/>
                <w:sz w:val="18"/>
                <w:szCs w:val="18"/>
              </w:rPr>
              <w:t xml:space="preserve"> i5 lub równoważny według nomenklatury producenta, </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karta sieciowa 1Gbit</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b. jeden monitor medyczny poglądowy o przekątnej minimum 24 cale.</w:t>
            </w:r>
          </w:p>
        </w:tc>
        <w:tc>
          <w:tcPr>
            <w:tcW w:w="1418" w:type="dxa"/>
            <w:tcBorders>
              <w:bottom w:val="single" w:sz="4" w:space="0" w:color="auto"/>
            </w:tcBorders>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Tak</w:t>
            </w:r>
          </w:p>
        </w:tc>
        <w:tc>
          <w:tcPr>
            <w:tcW w:w="2409" w:type="dxa"/>
            <w:tcBorders>
              <w:bottom w:val="single" w:sz="4" w:space="0" w:color="auto"/>
            </w:tcBorders>
            <w:vAlign w:val="center"/>
          </w:tcPr>
          <w:p w:rsidR="00C0702A" w:rsidRPr="009E25F1" w:rsidRDefault="00C0702A" w:rsidP="00845B14">
            <w:pPr>
              <w:pStyle w:val="Zawartotabeli"/>
              <w:snapToGrid w:val="0"/>
              <w:jc w:val="center"/>
              <w:rPr>
                <w:rFonts w:asciiTheme="minorHAnsi" w:hAnsiTheme="minorHAnsi" w:cstheme="minorHAnsi"/>
                <w:sz w:val="20"/>
                <w:szCs w:val="20"/>
              </w:rPr>
            </w:pPr>
          </w:p>
        </w:tc>
        <w:tc>
          <w:tcPr>
            <w:tcW w:w="1560" w:type="dxa"/>
            <w:tcBorders>
              <w:bottom w:val="single" w:sz="4" w:space="0" w:color="auto"/>
            </w:tcBorders>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Bez oceny</w:t>
            </w:r>
          </w:p>
        </w:tc>
      </w:tr>
      <w:tr w:rsidR="009E25F1" w:rsidRPr="009E25F1" w:rsidTr="00845B14">
        <w:tblPrEx>
          <w:tblLook w:val="0000" w:firstRow="0" w:lastRow="0" w:firstColumn="0" w:lastColumn="0" w:noHBand="0" w:noVBand="0"/>
        </w:tblPrEx>
        <w:trPr>
          <w:trHeight w:val="341"/>
          <w:tblHeader/>
        </w:trPr>
        <w:tc>
          <w:tcPr>
            <w:tcW w:w="469" w:type="dxa"/>
            <w:shd w:val="clear" w:color="auto" w:fill="EEECE1" w:themeFill="background2"/>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5.</w:t>
            </w:r>
          </w:p>
        </w:tc>
        <w:tc>
          <w:tcPr>
            <w:tcW w:w="8233" w:type="dxa"/>
            <w:shd w:val="clear" w:color="auto" w:fill="EEECE1" w:themeFill="background2"/>
            <w:vAlign w:val="center"/>
          </w:tcPr>
          <w:p w:rsidR="00C0702A" w:rsidRPr="009E25F1" w:rsidRDefault="00C0702A" w:rsidP="00845B14">
            <w:pPr>
              <w:snapToGrid w:val="0"/>
              <w:rPr>
                <w:rFonts w:asciiTheme="minorHAnsi" w:hAnsiTheme="minorHAnsi" w:cstheme="minorHAnsi"/>
                <w:sz w:val="18"/>
                <w:szCs w:val="18"/>
              </w:rPr>
            </w:pPr>
            <w:r w:rsidRPr="009E25F1">
              <w:rPr>
                <w:rFonts w:asciiTheme="minorHAnsi" w:hAnsiTheme="minorHAnsi" w:cstheme="minorHAnsi"/>
                <w:b/>
                <w:sz w:val="18"/>
                <w:szCs w:val="18"/>
              </w:rPr>
              <w:t>Stacja medyczna opisowa klasy RTG  – 7 sztuk</w:t>
            </w:r>
          </w:p>
        </w:tc>
        <w:tc>
          <w:tcPr>
            <w:tcW w:w="1418" w:type="dxa"/>
            <w:shd w:val="clear" w:color="auto" w:fill="EEECE1" w:themeFill="background2"/>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2409" w:type="dxa"/>
            <w:shd w:val="clear" w:color="auto" w:fill="EEECE1" w:themeFill="background2"/>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shd w:val="clear" w:color="auto" w:fill="EEECE1" w:themeFill="background2"/>
          </w:tcPr>
          <w:p w:rsidR="00C0702A" w:rsidRPr="009E25F1" w:rsidRDefault="00C0702A" w:rsidP="00845B14">
            <w:pPr>
              <w:pStyle w:val="Zawartotabeli"/>
              <w:snapToGrid w:val="0"/>
              <w:jc w:val="center"/>
              <w:rPr>
                <w:rFonts w:asciiTheme="minorHAnsi" w:hAnsiTheme="minorHAnsi" w:cstheme="minorHAnsi"/>
                <w:sz w:val="18"/>
                <w:szCs w:val="18"/>
              </w:rPr>
            </w:pPr>
          </w:p>
        </w:tc>
      </w:tr>
      <w:tr w:rsidR="009E25F1" w:rsidRPr="009E25F1" w:rsidTr="00845B14">
        <w:tblPrEx>
          <w:tblLook w:val="0000" w:firstRow="0" w:lastRow="0" w:firstColumn="0" w:lastColumn="0" w:noHBand="0" w:noVBand="0"/>
        </w:tblPrEx>
        <w:trPr>
          <w:trHeight w:val="1775"/>
          <w:tblHeader/>
        </w:trPr>
        <w:tc>
          <w:tcPr>
            <w:tcW w:w="469" w:type="dxa"/>
          </w:tcPr>
          <w:p w:rsidR="00C0702A" w:rsidRPr="009E25F1" w:rsidRDefault="00C0702A"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lastRenderedPageBreak/>
              <w:t>6.</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Stacja medyczna, opisowa, diagnostyczna  do zastosowania w radiologii ogólnej, spełniająca aktualne wymogi prawne.</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Każda stacja wyposażona w:</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a.  komputer z profesjonalnym 64-bitowym systemem operacyjnym, z aktualnym wsparciem i aktualizacjami o parametrach nie niższych niż:</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 pamięć RAM: min. 16 GB, </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HDD: SSD min. 256GB</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procesor z rodziny serwerowej, klasy min. Intel Xeon lub równoważny według nomenklatury producenta</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karta sieciowa 1Gbit</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b. zasilacz awaryjny typu UPS</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c. jeden monitor tekstowy kolorowy o przekątnej minimum 19 cale, funkcja </w:t>
            </w:r>
            <w:proofErr w:type="spellStart"/>
            <w:r w:rsidRPr="009E25F1">
              <w:rPr>
                <w:rFonts w:asciiTheme="minorHAnsi" w:hAnsiTheme="minorHAnsi" w:cstheme="minorHAnsi"/>
                <w:iCs/>
                <w:sz w:val="18"/>
                <w:szCs w:val="18"/>
              </w:rPr>
              <w:t>pivot</w:t>
            </w:r>
            <w:proofErr w:type="spellEnd"/>
            <w:r w:rsidRPr="009E25F1">
              <w:rPr>
                <w:rFonts w:asciiTheme="minorHAnsi" w:hAnsiTheme="minorHAnsi" w:cstheme="minorHAnsi"/>
                <w:iCs/>
                <w:sz w:val="18"/>
                <w:szCs w:val="18"/>
              </w:rPr>
              <w:t>.</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d. dwa monitory medyczne opisowe monochromatyczne o przekątnej min. 47,5 cm każdy, lub jeden posiadający odpowiednio zwielokrotnione parametry</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Tak</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Bez oceny</w:t>
            </w:r>
          </w:p>
        </w:tc>
      </w:tr>
      <w:tr w:rsidR="009E25F1" w:rsidRPr="009E25F1" w:rsidTr="009E25F1">
        <w:tblPrEx>
          <w:tblLook w:val="0000" w:firstRow="0" w:lastRow="0" w:firstColumn="0" w:lastColumn="0" w:noHBand="0" w:noVBand="0"/>
        </w:tblPrEx>
        <w:trPr>
          <w:trHeight w:val="768"/>
          <w:tblHeader/>
        </w:trPr>
        <w:tc>
          <w:tcPr>
            <w:tcW w:w="469" w:type="dxa"/>
            <w:tcBorders>
              <w:bottom w:val="single" w:sz="4" w:space="0" w:color="auto"/>
            </w:tcBorders>
            <w:vAlign w:val="center"/>
          </w:tcPr>
          <w:p w:rsidR="00C0702A" w:rsidRPr="009E25F1" w:rsidRDefault="009E25F1" w:rsidP="009E25F1">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7.</w:t>
            </w:r>
          </w:p>
        </w:tc>
        <w:tc>
          <w:tcPr>
            <w:tcW w:w="8233" w:type="dxa"/>
            <w:tcBorders>
              <w:bottom w:val="single" w:sz="4" w:space="0" w:color="auto"/>
            </w:tcBorders>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Maksymalna luminancja monitorów opisowych do zastosowania w radiologii ogólnej</w:t>
            </w:r>
          </w:p>
        </w:tc>
        <w:tc>
          <w:tcPr>
            <w:tcW w:w="1418" w:type="dxa"/>
            <w:tcBorders>
              <w:bottom w:val="single" w:sz="4" w:space="0" w:color="auto"/>
            </w:tcBorders>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 800cd/m</w:t>
            </w:r>
            <w:r w:rsidRPr="009E25F1">
              <w:rPr>
                <w:rFonts w:asciiTheme="minorHAnsi" w:hAnsiTheme="minorHAnsi" w:cstheme="minorHAnsi"/>
                <w:sz w:val="18"/>
                <w:szCs w:val="18"/>
                <w:vertAlign w:val="superscript"/>
              </w:rPr>
              <w:t>2</w:t>
            </w:r>
            <w:r w:rsidRPr="009E25F1">
              <w:rPr>
                <w:rFonts w:asciiTheme="minorHAnsi" w:hAnsiTheme="minorHAnsi" w:cstheme="minorHAnsi"/>
                <w:sz w:val="18"/>
                <w:szCs w:val="18"/>
              </w:rPr>
              <w:t>, Podać</w:t>
            </w:r>
          </w:p>
        </w:tc>
        <w:tc>
          <w:tcPr>
            <w:tcW w:w="2409" w:type="dxa"/>
            <w:tcBorders>
              <w:bottom w:val="single" w:sz="4" w:space="0" w:color="auto"/>
            </w:tcBorders>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tcBorders>
              <w:bottom w:val="single" w:sz="4" w:space="0" w:color="auto"/>
            </w:tcBorders>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800 do 1000 cd/m</w:t>
            </w:r>
            <w:r w:rsidRPr="009E25F1">
              <w:rPr>
                <w:rFonts w:asciiTheme="minorHAnsi" w:hAnsiTheme="minorHAnsi" w:cstheme="minorHAnsi"/>
                <w:sz w:val="18"/>
                <w:szCs w:val="18"/>
                <w:vertAlign w:val="superscript"/>
              </w:rPr>
              <w:t>2</w:t>
            </w:r>
            <w:r w:rsidRPr="009E25F1">
              <w:rPr>
                <w:rFonts w:asciiTheme="minorHAnsi" w:hAnsiTheme="minorHAnsi" w:cstheme="minorHAnsi"/>
                <w:sz w:val="18"/>
                <w:szCs w:val="18"/>
              </w:rPr>
              <w:t>- 0 pkt,</w:t>
            </w:r>
          </w:p>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 1001 cd/m</w:t>
            </w:r>
            <w:r w:rsidRPr="009E25F1">
              <w:rPr>
                <w:rFonts w:asciiTheme="minorHAnsi" w:hAnsiTheme="minorHAnsi" w:cstheme="minorHAnsi"/>
                <w:sz w:val="18"/>
                <w:szCs w:val="18"/>
                <w:vertAlign w:val="superscript"/>
              </w:rPr>
              <w:t>2</w:t>
            </w:r>
            <w:r w:rsidRPr="009E25F1">
              <w:rPr>
                <w:rFonts w:asciiTheme="minorHAnsi" w:hAnsiTheme="minorHAnsi" w:cstheme="minorHAnsi"/>
                <w:sz w:val="18"/>
                <w:szCs w:val="18"/>
              </w:rPr>
              <w:t xml:space="preserve"> - 5 pkt.</w:t>
            </w:r>
          </w:p>
        </w:tc>
      </w:tr>
      <w:tr w:rsidR="009E25F1" w:rsidRPr="009E25F1" w:rsidTr="00845B14">
        <w:tblPrEx>
          <w:tblLook w:val="0000" w:firstRow="0" w:lastRow="0" w:firstColumn="0" w:lastColumn="0" w:noHBand="0" w:noVBand="0"/>
        </w:tblPrEx>
        <w:trPr>
          <w:trHeight w:val="321"/>
          <w:tblHeader/>
        </w:trPr>
        <w:tc>
          <w:tcPr>
            <w:tcW w:w="469" w:type="dxa"/>
            <w:shd w:val="clear" w:color="auto" w:fill="EEECE1" w:themeFill="background2"/>
          </w:tcPr>
          <w:p w:rsidR="00C0702A" w:rsidRPr="009E25F1" w:rsidRDefault="009E25F1"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8</w:t>
            </w:r>
            <w:r w:rsidR="00C0702A" w:rsidRPr="009E25F1">
              <w:rPr>
                <w:rFonts w:asciiTheme="minorHAnsi" w:hAnsiTheme="minorHAnsi" w:cstheme="minorHAnsi"/>
                <w:sz w:val="18"/>
                <w:szCs w:val="18"/>
              </w:rPr>
              <w:t>.</w:t>
            </w:r>
          </w:p>
        </w:tc>
        <w:tc>
          <w:tcPr>
            <w:tcW w:w="8233" w:type="dxa"/>
            <w:shd w:val="clear" w:color="auto" w:fill="EEECE1" w:themeFill="background2"/>
            <w:vAlign w:val="center"/>
          </w:tcPr>
          <w:p w:rsidR="00C0702A" w:rsidRPr="009E25F1" w:rsidRDefault="00C0702A" w:rsidP="00845B14">
            <w:pPr>
              <w:snapToGrid w:val="0"/>
              <w:rPr>
                <w:rFonts w:asciiTheme="minorHAnsi" w:hAnsiTheme="minorHAnsi" w:cstheme="minorHAnsi"/>
                <w:sz w:val="18"/>
                <w:szCs w:val="18"/>
              </w:rPr>
            </w:pPr>
            <w:r w:rsidRPr="009E25F1">
              <w:rPr>
                <w:rFonts w:asciiTheme="minorHAnsi" w:hAnsiTheme="minorHAnsi" w:cstheme="minorHAnsi"/>
                <w:b/>
                <w:sz w:val="18"/>
                <w:szCs w:val="18"/>
              </w:rPr>
              <w:t>Stacja medyczna opisowa klasy TK/MR  – 19 sztuk</w:t>
            </w:r>
          </w:p>
        </w:tc>
        <w:tc>
          <w:tcPr>
            <w:tcW w:w="1418" w:type="dxa"/>
            <w:shd w:val="clear" w:color="auto" w:fill="EEECE1" w:themeFill="background2"/>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2409" w:type="dxa"/>
            <w:shd w:val="clear" w:color="auto" w:fill="EEECE1" w:themeFill="background2"/>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shd w:val="clear" w:color="auto" w:fill="EEECE1" w:themeFill="background2"/>
          </w:tcPr>
          <w:p w:rsidR="00C0702A" w:rsidRPr="009E25F1" w:rsidRDefault="00C0702A" w:rsidP="00845B14">
            <w:pPr>
              <w:pStyle w:val="Zawartotabeli"/>
              <w:snapToGrid w:val="0"/>
              <w:jc w:val="center"/>
              <w:rPr>
                <w:rFonts w:asciiTheme="minorHAnsi" w:hAnsiTheme="minorHAnsi" w:cstheme="minorHAnsi"/>
                <w:sz w:val="18"/>
                <w:szCs w:val="18"/>
              </w:rPr>
            </w:pPr>
          </w:p>
        </w:tc>
      </w:tr>
      <w:tr w:rsidR="009E25F1" w:rsidRPr="009E25F1" w:rsidTr="00845B14">
        <w:tblPrEx>
          <w:tblLook w:val="0000" w:firstRow="0" w:lastRow="0" w:firstColumn="0" w:lastColumn="0" w:noHBand="0" w:noVBand="0"/>
        </w:tblPrEx>
        <w:trPr>
          <w:trHeight w:val="1775"/>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9</w:t>
            </w:r>
            <w:r w:rsidR="00C0702A" w:rsidRPr="009E25F1">
              <w:rPr>
                <w:rFonts w:asciiTheme="minorHAnsi" w:hAnsiTheme="minorHAnsi" w:cstheme="minorHAnsi"/>
                <w:sz w:val="18"/>
                <w:szCs w:val="18"/>
              </w:rPr>
              <w:t>.</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Stacja medyczna, opisowa, diagnostyczna  do zastosowania w tomografii komputerowej, spełniająca aktualne wymogi prawne.</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Każda stacja wyposażona w:</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a.  komputer z profesjonalnym 64-bitowym systemem operacyjny, z aktualnym wsparciem i aktualizacjami o parametrach nie niższych niż:</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 pamięć RAM: min. 16 GB, </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HDD: SSD min. 256GB</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procesor z rodziny serwerowej, klasy min. Intel Xeon lub równoważny według nomenklatury producenta</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karta sieciowa 1Gbit</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b. zasilacz awaryjny typu UPS</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c. jeden monitor tekstowy kolorowy o przekątnej minimum 19 cali, funkcja </w:t>
            </w:r>
            <w:proofErr w:type="spellStart"/>
            <w:r w:rsidRPr="009E25F1">
              <w:rPr>
                <w:rFonts w:asciiTheme="minorHAnsi" w:hAnsiTheme="minorHAnsi" w:cstheme="minorHAnsi"/>
                <w:iCs/>
                <w:sz w:val="18"/>
                <w:szCs w:val="18"/>
              </w:rPr>
              <w:t>pivot</w:t>
            </w:r>
            <w:proofErr w:type="spellEnd"/>
            <w:r w:rsidRPr="009E25F1">
              <w:rPr>
                <w:rFonts w:asciiTheme="minorHAnsi" w:hAnsiTheme="minorHAnsi" w:cstheme="minorHAnsi"/>
                <w:iCs/>
                <w:sz w:val="18"/>
                <w:szCs w:val="18"/>
              </w:rPr>
              <w:t>.</w:t>
            </w:r>
          </w:p>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d. dwa monitory medyczne opisowe kolorowe o przekątnej min. 45 cm każdy, lub jeden posiadający odpowiednio zwielokrotnione parametry</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Tak</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20"/>
                <w:szCs w:val="20"/>
              </w:rPr>
            </w:pPr>
            <w:r w:rsidRPr="009E25F1">
              <w:rPr>
                <w:rFonts w:asciiTheme="minorHAnsi" w:hAnsiTheme="minorHAnsi" w:cstheme="minorHAnsi"/>
                <w:sz w:val="20"/>
                <w:szCs w:val="20"/>
              </w:rPr>
              <w:t>Bez oceny</w:t>
            </w:r>
          </w:p>
        </w:tc>
      </w:tr>
      <w:tr w:rsidR="009E25F1" w:rsidRPr="009E25F1" w:rsidTr="00845B14">
        <w:tblPrEx>
          <w:tblLook w:val="0000" w:firstRow="0" w:lastRow="0" w:firstColumn="0" w:lastColumn="0" w:noHBand="0" w:noVBand="0"/>
        </w:tblPrEx>
        <w:trPr>
          <w:trHeight w:val="783"/>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lastRenderedPageBreak/>
              <w:t>10.</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Maksymalna luminancja monitorów opisowych do zastosowania w tomografii komputerowej</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 800cd/m</w:t>
            </w:r>
            <w:r w:rsidRPr="009E25F1">
              <w:rPr>
                <w:rFonts w:asciiTheme="minorHAnsi" w:hAnsiTheme="minorHAnsi" w:cstheme="minorHAnsi"/>
                <w:sz w:val="18"/>
                <w:szCs w:val="18"/>
                <w:vertAlign w:val="superscript"/>
              </w:rPr>
              <w:t>2</w:t>
            </w:r>
            <w:r w:rsidRPr="009E25F1">
              <w:rPr>
                <w:rFonts w:asciiTheme="minorHAnsi" w:hAnsiTheme="minorHAnsi" w:cstheme="minorHAnsi"/>
                <w:sz w:val="18"/>
                <w:szCs w:val="18"/>
              </w:rPr>
              <w:t>, Podać</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800 do 1000 cd/m</w:t>
            </w:r>
            <w:r w:rsidRPr="009E25F1">
              <w:rPr>
                <w:rFonts w:asciiTheme="minorHAnsi" w:hAnsiTheme="minorHAnsi" w:cstheme="minorHAnsi"/>
                <w:sz w:val="18"/>
                <w:szCs w:val="18"/>
                <w:vertAlign w:val="superscript"/>
              </w:rPr>
              <w:t>2</w:t>
            </w:r>
            <w:r w:rsidRPr="009E25F1">
              <w:rPr>
                <w:rFonts w:asciiTheme="minorHAnsi" w:hAnsiTheme="minorHAnsi" w:cstheme="minorHAnsi"/>
                <w:sz w:val="18"/>
                <w:szCs w:val="18"/>
              </w:rPr>
              <w:t>- 0 pkt,</w:t>
            </w:r>
          </w:p>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 1001 cd/m</w:t>
            </w:r>
            <w:r w:rsidRPr="009E25F1">
              <w:rPr>
                <w:rFonts w:asciiTheme="minorHAnsi" w:hAnsiTheme="minorHAnsi" w:cstheme="minorHAnsi"/>
                <w:sz w:val="18"/>
                <w:szCs w:val="18"/>
                <w:vertAlign w:val="superscript"/>
              </w:rPr>
              <w:t>2</w:t>
            </w:r>
            <w:r w:rsidRPr="009E25F1">
              <w:rPr>
                <w:rFonts w:asciiTheme="minorHAnsi" w:hAnsiTheme="minorHAnsi" w:cstheme="minorHAnsi"/>
                <w:sz w:val="18"/>
                <w:szCs w:val="18"/>
              </w:rPr>
              <w:t xml:space="preserve"> - 5 pkt.</w:t>
            </w:r>
          </w:p>
        </w:tc>
      </w:tr>
      <w:tr w:rsidR="009E25F1" w:rsidRPr="009E25F1" w:rsidTr="00845B14">
        <w:tblPrEx>
          <w:tblLook w:val="0000" w:firstRow="0" w:lastRow="0" w:firstColumn="0" w:lastColumn="0" w:noHBand="0" w:noVBand="0"/>
        </w:tblPrEx>
        <w:trPr>
          <w:trHeight w:val="582"/>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11.</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Możliwość zmniejszenia jasności jednego z monitorów diagnostycznych pracujących w obrębie jednej stacji, nie z poziomu menu obsługowego monitora i nie za pomocą przycisków na obudowie monitora.</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Tak</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Bez oceny</w:t>
            </w:r>
          </w:p>
        </w:tc>
      </w:tr>
      <w:tr w:rsidR="009E25F1" w:rsidRPr="009E25F1" w:rsidTr="00845B14">
        <w:tblPrEx>
          <w:tblLook w:val="0000" w:firstRow="0" w:lastRow="0" w:firstColumn="0" w:lastColumn="0" w:noHBand="0" w:noVBand="0"/>
        </w:tblPrEx>
        <w:trPr>
          <w:trHeight w:val="582"/>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12.</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Monitory diagnostyczne klasy </w:t>
            </w:r>
            <w:proofErr w:type="spellStart"/>
            <w:r w:rsidRPr="009E25F1">
              <w:rPr>
                <w:rFonts w:asciiTheme="minorHAnsi" w:hAnsiTheme="minorHAnsi" w:cstheme="minorHAnsi"/>
                <w:iCs/>
                <w:sz w:val="18"/>
                <w:szCs w:val="18"/>
              </w:rPr>
              <w:t>IIb</w:t>
            </w:r>
            <w:proofErr w:type="spellEnd"/>
            <w:r w:rsidR="003B12B3" w:rsidRPr="009E25F1">
              <w:rPr>
                <w:rFonts w:asciiTheme="minorHAnsi" w:hAnsiTheme="minorHAnsi" w:cstheme="minorHAnsi"/>
                <w:iCs/>
                <w:sz w:val="18"/>
                <w:szCs w:val="18"/>
              </w:rPr>
              <w:t xml:space="preserve"> lub równoważne</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 xml:space="preserve">Tak/Nie, </w:t>
            </w:r>
          </w:p>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Podać</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Tak – 5pkt</w:t>
            </w:r>
          </w:p>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Nie – 0 pkt.</w:t>
            </w:r>
          </w:p>
        </w:tc>
      </w:tr>
      <w:tr w:rsidR="009E25F1" w:rsidRPr="009E25F1" w:rsidTr="00845B14">
        <w:tblPrEx>
          <w:tblLook w:val="0000" w:firstRow="0" w:lastRow="0" w:firstColumn="0" w:lastColumn="0" w:noHBand="0" w:noVBand="0"/>
        </w:tblPrEx>
        <w:trPr>
          <w:trHeight w:val="440"/>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13.</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Wszystkie monitory opisowe jednego producenta </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Tak</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Bez oceny</w:t>
            </w:r>
          </w:p>
        </w:tc>
      </w:tr>
      <w:tr w:rsidR="009E25F1" w:rsidRPr="009E25F1" w:rsidTr="00845B14">
        <w:tblPrEx>
          <w:tblLook w:val="0000" w:firstRow="0" w:lastRow="0" w:firstColumn="0" w:lastColumn="0" w:noHBand="0" w:noVBand="0"/>
        </w:tblPrEx>
        <w:trPr>
          <w:trHeight w:val="440"/>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14.</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Opcja serwerowa wraz z aplikacją dla zdalnej kalibracji i kontroli jakości monitorów diagnostycznych  </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 xml:space="preserve">Tak/Nie, </w:t>
            </w:r>
          </w:p>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Podać</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Tak – 5pkt</w:t>
            </w:r>
          </w:p>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Nie – 0 pkt.</w:t>
            </w:r>
          </w:p>
        </w:tc>
      </w:tr>
      <w:tr w:rsidR="009E25F1" w:rsidRPr="009E25F1" w:rsidTr="00845B14">
        <w:tblPrEx>
          <w:tblLook w:val="0000" w:firstRow="0" w:lastRow="0" w:firstColumn="0" w:lastColumn="0" w:noHBand="0" w:noVBand="0"/>
        </w:tblPrEx>
        <w:trPr>
          <w:trHeight w:val="590"/>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15.</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Kalibrator lub zestaw kalibracyjny umożliwiający użytkownikowi co najmniej pomiary i kalibracje w zakresie min. krzywej DICOM, luminancji, kontrastu, jednorodności. </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TAK, 2 pełne komplety</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Bez oceny</w:t>
            </w:r>
          </w:p>
        </w:tc>
      </w:tr>
      <w:tr w:rsidR="009E25F1" w:rsidRPr="009E25F1" w:rsidTr="00845B14">
        <w:tblPrEx>
          <w:tblLook w:val="0000" w:firstRow="0" w:lastRow="0" w:firstColumn="0" w:lastColumn="0" w:noHBand="0" w:noVBand="0"/>
        </w:tblPrEx>
        <w:trPr>
          <w:trHeight w:val="590"/>
          <w:tblHeader/>
        </w:trPr>
        <w:tc>
          <w:tcPr>
            <w:tcW w:w="469" w:type="dxa"/>
          </w:tcPr>
          <w:p w:rsidR="00C0702A" w:rsidRPr="009E25F1" w:rsidRDefault="009E25F1" w:rsidP="00845B14">
            <w:pPr>
              <w:pStyle w:val="Zawartotabeli"/>
              <w:snapToGrid w:val="0"/>
              <w:ind w:left="68"/>
              <w:jc w:val="center"/>
              <w:rPr>
                <w:rFonts w:asciiTheme="minorHAnsi" w:hAnsiTheme="minorHAnsi" w:cstheme="minorHAnsi"/>
                <w:sz w:val="18"/>
                <w:szCs w:val="18"/>
              </w:rPr>
            </w:pPr>
            <w:r w:rsidRPr="009E25F1">
              <w:rPr>
                <w:rFonts w:asciiTheme="minorHAnsi" w:hAnsiTheme="minorHAnsi" w:cstheme="minorHAnsi"/>
                <w:sz w:val="18"/>
                <w:szCs w:val="18"/>
              </w:rPr>
              <w:t>16.</w:t>
            </w:r>
          </w:p>
        </w:tc>
        <w:tc>
          <w:tcPr>
            <w:tcW w:w="8233" w:type="dxa"/>
            <w:vAlign w:val="center"/>
          </w:tcPr>
          <w:p w:rsidR="00C0702A" w:rsidRPr="009E25F1" w:rsidRDefault="00C0702A" w:rsidP="00845B14">
            <w:pPr>
              <w:snapToGrid w:val="0"/>
              <w:rPr>
                <w:rFonts w:asciiTheme="minorHAnsi" w:hAnsiTheme="minorHAnsi" w:cstheme="minorHAnsi"/>
                <w:iCs/>
                <w:sz w:val="18"/>
                <w:szCs w:val="18"/>
              </w:rPr>
            </w:pPr>
            <w:r w:rsidRPr="009E25F1">
              <w:rPr>
                <w:rFonts w:asciiTheme="minorHAnsi" w:hAnsiTheme="minorHAnsi" w:cstheme="minorHAnsi"/>
                <w:iCs/>
                <w:sz w:val="18"/>
                <w:szCs w:val="18"/>
              </w:rPr>
              <w:t xml:space="preserve">Wykonanie w cenie oferty testów specjalistycznych oferowanych monitorów opisowych i poglądowych przed oddaniem do użytkowania w terminie ustalonym z zamawiającym. </w:t>
            </w:r>
          </w:p>
        </w:tc>
        <w:tc>
          <w:tcPr>
            <w:tcW w:w="1418"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Tak</w:t>
            </w:r>
          </w:p>
        </w:tc>
        <w:tc>
          <w:tcPr>
            <w:tcW w:w="2409"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p>
        </w:tc>
        <w:tc>
          <w:tcPr>
            <w:tcW w:w="1560" w:type="dxa"/>
            <w:vAlign w:val="center"/>
          </w:tcPr>
          <w:p w:rsidR="00C0702A" w:rsidRPr="009E25F1" w:rsidRDefault="00C0702A" w:rsidP="00845B14">
            <w:pPr>
              <w:pStyle w:val="Zawartotabeli"/>
              <w:snapToGrid w:val="0"/>
              <w:jc w:val="center"/>
              <w:rPr>
                <w:rFonts w:asciiTheme="minorHAnsi" w:hAnsiTheme="minorHAnsi" w:cstheme="minorHAnsi"/>
                <w:sz w:val="18"/>
                <w:szCs w:val="18"/>
              </w:rPr>
            </w:pPr>
            <w:r w:rsidRPr="009E25F1">
              <w:rPr>
                <w:rFonts w:asciiTheme="minorHAnsi" w:hAnsiTheme="minorHAnsi" w:cstheme="minorHAnsi"/>
                <w:sz w:val="18"/>
                <w:szCs w:val="18"/>
              </w:rPr>
              <w:t>Bez oceny</w:t>
            </w:r>
          </w:p>
        </w:tc>
      </w:tr>
    </w:tbl>
    <w:p w:rsidR="00C0702A" w:rsidRDefault="00C0702A" w:rsidP="00C0702A">
      <w:pPr>
        <w:rPr>
          <w:rFonts w:asciiTheme="minorHAnsi" w:hAnsiTheme="minorHAnsi" w:cstheme="minorHAnsi"/>
          <w:color w:val="FF0000"/>
        </w:rPr>
      </w:pPr>
    </w:p>
    <w:p w:rsidR="00C0702A" w:rsidRDefault="00C0702A" w:rsidP="00C0702A">
      <w:pPr>
        <w:rPr>
          <w:rFonts w:asciiTheme="minorHAnsi" w:hAnsiTheme="minorHAnsi" w:cstheme="minorHAnsi"/>
          <w:color w:val="FF0000"/>
        </w:rPr>
      </w:pPr>
    </w:p>
    <w:p w:rsidR="00C0702A" w:rsidRDefault="00C0702A" w:rsidP="00C0702A">
      <w:pPr>
        <w:rPr>
          <w:rFonts w:asciiTheme="minorHAnsi" w:hAnsiTheme="minorHAnsi" w:cstheme="minorHAnsi"/>
          <w:color w:val="FF0000"/>
        </w:rPr>
      </w:pPr>
    </w:p>
    <w:p w:rsidR="00C0702A" w:rsidRDefault="00C0702A" w:rsidP="00C0702A">
      <w:pPr>
        <w:rPr>
          <w:rFonts w:asciiTheme="minorHAnsi" w:hAnsiTheme="minorHAnsi" w:cstheme="minorHAnsi"/>
          <w:color w:val="FF0000"/>
        </w:rPr>
      </w:pPr>
    </w:p>
    <w:p w:rsidR="00C0702A" w:rsidRDefault="00C0702A" w:rsidP="00C0702A">
      <w:pPr>
        <w:rPr>
          <w:rFonts w:asciiTheme="minorHAnsi" w:hAnsiTheme="minorHAnsi" w:cstheme="minorHAnsi"/>
          <w:color w:val="FF0000"/>
        </w:rPr>
      </w:pPr>
    </w:p>
    <w:p w:rsidR="00C0702A" w:rsidRDefault="00C0702A" w:rsidP="00C0702A">
      <w:pPr>
        <w:rPr>
          <w:rFonts w:asciiTheme="minorHAnsi" w:hAnsiTheme="minorHAnsi" w:cstheme="minorHAnsi"/>
          <w:color w:val="FF0000"/>
        </w:rPr>
      </w:pPr>
    </w:p>
    <w:p w:rsidR="00C0702A" w:rsidRPr="0002705C" w:rsidRDefault="00C0702A" w:rsidP="00C0702A">
      <w:pPr>
        <w:rPr>
          <w:rFonts w:asciiTheme="minorHAnsi" w:hAnsiTheme="minorHAnsi" w:cstheme="minorHAnsi"/>
          <w:color w:val="FF0000"/>
        </w:rPr>
      </w:pPr>
    </w:p>
    <w:p w:rsidR="00C0702A" w:rsidRPr="00524089" w:rsidRDefault="00C0702A" w:rsidP="00C0702A">
      <w:pPr>
        <w:pStyle w:val="Nagwek2"/>
        <w:widowControl/>
        <w:numPr>
          <w:ilvl w:val="0"/>
          <w:numId w:val="6"/>
        </w:numPr>
        <w:suppressAutoHyphens w:val="0"/>
        <w:autoSpaceDN/>
        <w:spacing w:before="0" w:after="0"/>
        <w:textAlignment w:val="auto"/>
        <w:rPr>
          <w:rFonts w:asciiTheme="minorHAnsi" w:hAnsiTheme="minorHAnsi" w:cstheme="minorHAnsi"/>
          <w:sz w:val="24"/>
          <w:szCs w:val="24"/>
          <w:lang w:eastAsia="en-US"/>
        </w:rPr>
      </w:pPr>
      <w:r w:rsidRPr="00524089">
        <w:rPr>
          <w:rFonts w:asciiTheme="minorHAnsi" w:hAnsiTheme="minorHAnsi" w:cstheme="minorHAnsi"/>
          <w:sz w:val="24"/>
          <w:szCs w:val="24"/>
          <w:lang w:eastAsia="en-US"/>
        </w:rPr>
        <w:lastRenderedPageBreak/>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C0702A" w:rsidRPr="00524089" w:rsidTr="00845B14">
        <w:trPr>
          <w:trHeight w:val="639"/>
          <w:tblHeader/>
        </w:trPr>
        <w:tc>
          <w:tcPr>
            <w:tcW w:w="426" w:type="dxa"/>
            <w:shd w:val="clear" w:color="auto" w:fill="FFFFFF"/>
            <w:vAlign w:val="center"/>
          </w:tcPr>
          <w:p w:rsidR="00C0702A" w:rsidRPr="00524089" w:rsidRDefault="00C0702A" w:rsidP="00845B14">
            <w:pPr>
              <w:jc w:val="center"/>
              <w:rPr>
                <w:rFonts w:asciiTheme="minorHAnsi" w:hAnsiTheme="minorHAnsi" w:cstheme="minorHAnsi"/>
                <w:b/>
                <w:sz w:val="18"/>
                <w:szCs w:val="18"/>
              </w:rPr>
            </w:pPr>
            <w:r w:rsidRPr="00524089">
              <w:rPr>
                <w:rFonts w:asciiTheme="minorHAnsi" w:hAnsiTheme="minorHAnsi" w:cstheme="minorHAnsi"/>
                <w:b/>
                <w:sz w:val="18"/>
                <w:szCs w:val="18"/>
              </w:rPr>
              <w:lastRenderedPageBreak/>
              <w:t>L.p.</w:t>
            </w:r>
          </w:p>
        </w:tc>
        <w:tc>
          <w:tcPr>
            <w:tcW w:w="8221" w:type="dxa"/>
            <w:shd w:val="clear" w:color="auto" w:fill="FFFFFF"/>
            <w:vAlign w:val="center"/>
          </w:tcPr>
          <w:p w:rsidR="00C0702A" w:rsidRPr="00524089" w:rsidRDefault="00C0702A" w:rsidP="00845B14">
            <w:pPr>
              <w:jc w:val="center"/>
              <w:rPr>
                <w:rFonts w:asciiTheme="minorHAnsi" w:hAnsiTheme="minorHAnsi" w:cstheme="minorHAnsi"/>
                <w:b/>
                <w:sz w:val="18"/>
                <w:szCs w:val="18"/>
              </w:rPr>
            </w:pPr>
            <w:r w:rsidRPr="00524089">
              <w:rPr>
                <w:rFonts w:asciiTheme="minorHAnsi" w:hAnsiTheme="minorHAnsi" w:cstheme="minorHAnsi"/>
                <w:b/>
                <w:sz w:val="18"/>
                <w:szCs w:val="18"/>
              </w:rPr>
              <w:t>Parametr</w:t>
            </w:r>
          </w:p>
        </w:tc>
        <w:tc>
          <w:tcPr>
            <w:tcW w:w="1418" w:type="dxa"/>
            <w:shd w:val="clear" w:color="auto" w:fill="FFFFFF"/>
            <w:vAlign w:val="center"/>
          </w:tcPr>
          <w:p w:rsidR="00C0702A" w:rsidRPr="00524089" w:rsidRDefault="00C0702A" w:rsidP="00845B14">
            <w:pPr>
              <w:jc w:val="center"/>
              <w:rPr>
                <w:rFonts w:asciiTheme="minorHAnsi" w:hAnsiTheme="minorHAnsi" w:cstheme="minorHAnsi"/>
                <w:b/>
                <w:sz w:val="18"/>
                <w:szCs w:val="18"/>
              </w:rPr>
            </w:pPr>
            <w:r w:rsidRPr="00524089">
              <w:rPr>
                <w:rFonts w:asciiTheme="minorHAnsi" w:hAnsiTheme="minorHAnsi" w:cstheme="minorHAnsi"/>
                <w:b/>
                <w:sz w:val="18"/>
                <w:szCs w:val="18"/>
              </w:rPr>
              <w:t>Parametr wymagany/ wartość</w:t>
            </w:r>
          </w:p>
        </w:tc>
        <w:tc>
          <w:tcPr>
            <w:tcW w:w="2409" w:type="dxa"/>
            <w:shd w:val="clear" w:color="auto" w:fill="FFFFFF"/>
            <w:vAlign w:val="center"/>
          </w:tcPr>
          <w:p w:rsidR="00C0702A" w:rsidRPr="00524089" w:rsidRDefault="00C0702A" w:rsidP="00845B14">
            <w:pPr>
              <w:jc w:val="center"/>
              <w:rPr>
                <w:rFonts w:asciiTheme="minorHAnsi" w:hAnsiTheme="minorHAnsi" w:cstheme="minorHAnsi"/>
                <w:b/>
                <w:sz w:val="18"/>
                <w:szCs w:val="18"/>
              </w:rPr>
            </w:pPr>
            <w:r w:rsidRPr="00524089">
              <w:rPr>
                <w:rFonts w:asciiTheme="minorHAnsi" w:hAnsiTheme="minorHAnsi" w:cstheme="minorHAnsi"/>
                <w:b/>
                <w:sz w:val="18"/>
                <w:szCs w:val="18"/>
              </w:rPr>
              <w:t>Parametr oferowany</w:t>
            </w:r>
          </w:p>
        </w:tc>
        <w:tc>
          <w:tcPr>
            <w:tcW w:w="1560" w:type="dxa"/>
            <w:shd w:val="clear" w:color="auto" w:fill="FFFFFF"/>
            <w:vAlign w:val="center"/>
          </w:tcPr>
          <w:p w:rsidR="00C0702A" w:rsidRPr="00524089" w:rsidRDefault="00C0702A" w:rsidP="00845B14">
            <w:pPr>
              <w:jc w:val="center"/>
              <w:rPr>
                <w:rFonts w:asciiTheme="minorHAnsi" w:hAnsiTheme="minorHAnsi" w:cstheme="minorHAnsi"/>
                <w:b/>
                <w:sz w:val="18"/>
                <w:szCs w:val="18"/>
              </w:rPr>
            </w:pPr>
            <w:r w:rsidRPr="00524089">
              <w:rPr>
                <w:rFonts w:asciiTheme="minorHAnsi" w:hAnsiTheme="minorHAnsi" w:cstheme="minorHAnsi"/>
                <w:b/>
                <w:sz w:val="18"/>
                <w:szCs w:val="18"/>
              </w:rPr>
              <w:t>Sposób oceny parametru</w:t>
            </w:r>
          </w:p>
        </w:tc>
      </w:tr>
      <w:tr w:rsidR="00C0702A" w:rsidRPr="00524089" w:rsidTr="00845B14">
        <w:trPr>
          <w:trHeight w:val="271"/>
          <w:tblHeader/>
        </w:trPr>
        <w:tc>
          <w:tcPr>
            <w:tcW w:w="426" w:type="dxa"/>
            <w:shd w:val="clear" w:color="auto" w:fill="EEECE1"/>
            <w:vAlign w:val="center"/>
          </w:tcPr>
          <w:p w:rsidR="00C0702A" w:rsidRPr="00524089" w:rsidRDefault="00C0702A" w:rsidP="00845B14">
            <w:pPr>
              <w:rPr>
                <w:rFonts w:asciiTheme="minorHAnsi" w:hAnsiTheme="minorHAnsi" w:cstheme="minorHAnsi"/>
                <w:b/>
                <w:sz w:val="18"/>
                <w:szCs w:val="18"/>
              </w:rPr>
            </w:pPr>
            <w:r w:rsidRPr="00524089">
              <w:rPr>
                <w:rFonts w:asciiTheme="minorHAnsi" w:hAnsiTheme="minorHAnsi" w:cstheme="minorHAnsi"/>
                <w:b/>
                <w:sz w:val="18"/>
                <w:szCs w:val="18"/>
              </w:rPr>
              <w:t>1.</w:t>
            </w:r>
          </w:p>
        </w:tc>
        <w:tc>
          <w:tcPr>
            <w:tcW w:w="8221" w:type="dxa"/>
            <w:shd w:val="clear" w:color="auto" w:fill="EEECE1"/>
            <w:vAlign w:val="center"/>
          </w:tcPr>
          <w:p w:rsidR="00C0702A" w:rsidRPr="00524089" w:rsidRDefault="00C0702A" w:rsidP="00845B14">
            <w:pPr>
              <w:rPr>
                <w:rFonts w:asciiTheme="minorHAnsi" w:hAnsiTheme="minorHAnsi" w:cstheme="minorHAnsi"/>
                <w:b/>
                <w:sz w:val="18"/>
                <w:szCs w:val="18"/>
              </w:rPr>
            </w:pPr>
            <w:r w:rsidRPr="00524089">
              <w:rPr>
                <w:rFonts w:asciiTheme="minorHAnsi" w:hAnsiTheme="minorHAnsi" w:cstheme="minorHAnsi"/>
                <w:b/>
                <w:sz w:val="18"/>
                <w:szCs w:val="18"/>
              </w:rPr>
              <w:t>GWARANCJE</w:t>
            </w:r>
          </w:p>
        </w:tc>
        <w:tc>
          <w:tcPr>
            <w:tcW w:w="1418" w:type="dxa"/>
            <w:shd w:val="clear" w:color="auto" w:fill="EEECE1"/>
            <w:vAlign w:val="center"/>
          </w:tcPr>
          <w:p w:rsidR="00C0702A" w:rsidRPr="00524089" w:rsidRDefault="00C0702A" w:rsidP="00845B14">
            <w:pPr>
              <w:jc w:val="center"/>
              <w:rPr>
                <w:rFonts w:asciiTheme="minorHAnsi" w:hAnsiTheme="minorHAnsi" w:cstheme="minorHAnsi"/>
                <w:sz w:val="18"/>
                <w:szCs w:val="18"/>
              </w:rPr>
            </w:pPr>
          </w:p>
        </w:tc>
        <w:tc>
          <w:tcPr>
            <w:tcW w:w="2409" w:type="dxa"/>
            <w:shd w:val="clear" w:color="auto" w:fill="EEECE1"/>
            <w:vAlign w:val="center"/>
          </w:tcPr>
          <w:p w:rsidR="00C0702A" w:rsidRPr="00524089" w:rsidRDefault="00C0702A" w:rsidP="00845B14">
            <w:pPr>
              <w:rPr>
                <w:rFonts w:asciiTheme="minorHAnsi" w:hAnsiTheme="minorHAnsi" w:cstheme="minorHAnsi"/>
                <w:sz w:val="18"/>
                <w:szCs w:val="18"/>
              </w:rPr>
            </w:pPr>
          </w:p>
        </w:tc>
        <w:tc>
          <w:tcPr>
            <w:tcW w:w="1560" w:type="dxa"/>
            <w:shd w:val="clear" w:color="auto" w:fill="EEECE1"/>
            <w:vAlign w:val="center"/>
          </w:tcPr>
          <w:p w:rsidR="00C0702A" w:rsidRPr="00524089" w:rsidRDefault="00C0702A" w:rsidP="00845B14">
            <w:pPr>
              <w:jc w:val="center"/>
              <w:rPr>
                <w:rFonts w:asciiTheme="minorHAnsi" w:hAnsiTheme="minorHAnsi" w:cstheme="minorHAnsi"/>
                <w:sz w:val="18"/>
                <w:szCs w:val="18"/>
              </w:rPr>
            </w:pPr>
          </w:p>
        </w:tc>
      </w:tr>
      <w:tr w:rsidR="00C0702A" w:rsidRPr="00524089" w:rsidTr="00845B14">
        <w:trPr>
          <w:trHeight w:val="1788"/>
          <w:tblHeader/>
        </w:trPr>
        <w:tc>
          <w:tcPr>
            <w:tcW w:w="426" w:type="dxa"/>
            <w:shd w:val="clear" w:color="auto" w:fill="FFFFFF"/>
            <w:vAlign w:val="center"/>
          </w:tcPr>
          <w:p w:rsidR="00C0702A" w:rsidRPr="00524089" w:rsidRDefault="00C0702A" w:rsidP="00845B14">
            <w:pPr>
              <w:rPr>
                <w:rFonts w:asciiTheme="minorHAnsi" w:hAnsiTheme="minorHAnsi" w:cstheme="minorHAnsi"/>
                <w:sz w:val="18"/>
                <w:szCs w:val="18"/>
              </w:rPr>
            </w:pPr>
            <w:r w:rsidRPr="00524089">
              <w:rPr>
                <w:rFonts w:asciiTheme="minorHAnsi" w:hAnsiTheme="minorHAnsi" w:cstheme="minorHAnsi"/>
                <w:sz w:val="18"/>
                <w:szCs w:val="18"/>
              </w:rPr>
              <w:t>2.</w:t>
            </w:r>
          </w:p>
        </w:tc>
        <w:tc>
          <w:tcPr>
            <w:tcW w:w="8221" w:type="dxa"/>
            <w:shd w:val="clear" w:color="auto" w:fill="FFFFFF"/>
            <w:vAlign w:val="center"/>
          </w:tcPr>
          <w:p w:rsidR="00C0702A" w:rsidRPr="00524089" w:rsidRDefault="00C0702A" w:rsidP="00845B14">
            <w:pPr>
              <w:rPr>
                <w:rFonts w:asciiTheme="minorHAnsi" w:hAnsiTheme="minorHAnsi" w:cstheme="minorHAnsi"/>
                <w:b/>
                <w:sz w:val="18"/>
                <w:szCs w:val="18"/>
              </w:rPr>
            </w:pPr>
            <w:r w:rsidRPr="00524089">
              <w:rPr>
                <w:rFonts w:asciiTheme="minorHAnsi" w:hAnsiTheme="minorHAnsi" w:cstheme="minorHAnsi"/>
                <w:b/>
                <w:sz w:val="18"/>
                <w:szCs w:val="18"/>
              </w:rPr>
              <w:t>Dotyczy wszystkich oferowanych jednostek komputerowych, monitorów edycyjnych oraz monitorów poglądowych (</w:t>
            </w:r>
            <w:r>
              <w:rPr>
                <w:rFonts w:asciiTheme="minorHAnsi" w:hAnsiTheme="minorHAnsi" w:cstheme="minorHAnsi"/>
                <w:b/>
                <w:sz w:val="18"/>
                <w:szCs w:val="18"/>
              </w:rPr>
              <w:t xml:space="preserve">tj. </w:t>
            </w:r>
            <w:r w:rsidRPr="00524089">
              <w:rPr>
                <w:rFonts w:asciiTheme="minorHAnsi" w:hAnsiTheme="minorHAnsi" w:cstheme="minorHAnsi"/>
                <w:b/>
                <w:sz w:val="18"/>
                <w:szCs w:val="18"/>
              </w:rPr>
              <w:t xml:space="preserve">z przeznaczeniem do stomatologii). </w:t>
            </w:r>
          </w:p>
          <w:p w:rsidR="00C0702A" w:rsidRPr="00524089" w:rsidRDefault="00C0702A" w:rsidP="00845B14">
            <w:pPr>
              <w:rPr>
                <w:rFonts w:asciiTheme="minorHAnsi" w:hAnsiTheme="minorHAnsi" w:cstheme="minorHAnsi"/>
                <w:sz w:val="18"/>
                <w:szCs w:val="18"/>
              </w:rPr>
            </w:pPr>
          </w:p>
          <w:p w:rsidR="00C0702A" w:rsidRPr="00524089" w:rsidRDefault="00C0702A" w:rsidP="00845B14">
            <w:pPr>
              <w:rPr>
                <w:rFonts w:asciiTheme="minorHAnsi" w:hAnsiTheme="minorHAnsi" w:cstheme="minorHAnsi"/>
                <w:sz w:val="18"/>
                <w:szCs w:val="18"/>
              </w:rPr>
            </w:pPr>
            <w:r w:rsidRPr="00524089">
              <w:rPr>
                <w:rFonts w:asciiTheme="minorHAnsi" w:hAnsiTheme="minorHAnsi" w:cstheme="minorHAnsi"/>
                <w:sz w:val="18"/>
                <w:szCs w:val="18"/>
              </w:rPr>
              <w:t>Okres gwarancji, [liczba miesięcy]</w:t>
            </w:r>
          </w:p>
          <w:p w:rsidR="00C0702A" w:rsidRPr="00524089" w:rsidRDefault="00C0702A" w:rsidP="00845B14">
            <w:pPr>
              <w:rPr>
                <w:rFonts w:asciiTheme="minorHAnsi" w:hAnsiTheme="minorHAnsi" w:cstheme="minorHAnsi"/>
                <w:sz w:val="18"/>
                <w:szCs w:val="18"/>
              </w:rPr>
            </w:pPr>
            <w:r w:rsidRPr="00524089">
              <w:rPr>
                <w:rFonts w:asciiTheme="minorHAnsi" w:hAnsiTheme="minorHAnsi" w:cstheme="minorHAns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418" w:type="dxa"/>
            <w:shd w:val="clear" w:color="auto" w:fill="FFFFFF"/>
            <w:vAlign w:val="center"/>
          </w:tcPr>
          <w:p w:rsidR="00C0702A" w:rsidRPr="00524089" w:rsidRDefault="00C0702A" w:rsidP="00845B14">
            <w:pPr>
              <w:jc w:val="center"/>
              <w:rPr>
                <w:rFonts w:asciiTheme="minorHAnsi" w:hAnsiTheme="minorHAnsi" w:cstheme="minorHAnsi"/>
                <w:sz w:val="18"/>
                <w:szCs w:val="18"/>
              </w:rPr>
            </w:pPr>
            <w:r w:rsidRPr="00524089">
              <w:rPr>
                <w:rFonts w:asciiTheme="minorHAnsi" w:hAnsiTheme="minorHAnsi" w:cstheme="minorHAnsi"/>
                <w:sz w:val="18"/>
                <w:szCs w:val="18"/>
              </w:rPr>
              <w:t>&gt;= 24</w:t>
            </w:r>
          </w:p>
        </w:tc>
        <w:tc>
          <w:tcPr>
            <w:tcW w:w="2409" w:type="dxa"/>
            <w:shd w:val="clear" w:color="auto" w:fill="FFFFFF"/>
            <w:vAlign w:val="center"/>
          </w:tcPr>
          <w:p w:rsidR="00C0702A" w:rsidRPr="00524089"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524089" w:rsidRDefault="00C0702A" w:rsidP="00845B14">
            <w:pPr>
              <w:jc w:val="center"/>
              <w:rPr>
                <w:rFonts w:asciiTheme="minorHAnsi" w:hAnsiTheme="minorHAnsi" w:cstheme="minorHAnsi"/>
                <w:sz w:val="18"/>
                <w:szCs w:val="18"/>
              </w:rPr>
            </w:pPr>
            <w:r w:rsidRPr="00524089">
              <w:rPr>
                <w:rFonts w:asciiTheme="minorHAnsi" w:hAnsiTheme="minorHAnsi" w:cstheme="minorHAnsi"/>
                <w:sz w:val="18"/>
                <w:szCs w:val="18"/>
              </w:rPr>
              <w:t>Najdłuższy okres ponad minimalnie wymagany – 10 pkt.</w:t>
            </w:r>
          </w:p>
          <w:p w:rsidR="00C0702A" w:rsidRPr="00524089" w:rsidRDefault="00C0702A" w:rsidP="00845B14">
            <w:pPr>
              <w:jc w:val="center"/>
              <w:rPr>
                <w:rFonts w:asciiTheme="minorHAnsi" w:hAnsiTheme="minorHAnsi" w:cstheme="minorHAnsi"/>
                <w:sz w:val="18"/>
                <w:szCs w:val="18"/>
              </w:rPr>
            </w:pPr>
            <w:r w:rsidRPr="00524089">
              <w:rPr>
                <w:rFonts w:asciiTheme="minorHAnsi" w:hAnsiTheme="minorHAnsi" w:cstheme="minorHAnsi"/>
                <w:sz w:val="18"/>
                <w:szCs w:val="18"/>
              </w:rPr>
              <w:t xml:space="preserve">Inne – proporcjonalnie mniej </w:t>
            </w:r>
            <w:r w:rsidR="00732721">
              <w:rPr>
                <w:rFonts w:asciiTheme="minorHAnsi" w:hAnsiTheme="minorHAnsi" w:cstheme="minorHAnsi"/>
                <w:sz w:val="18"/>
                <w:szCs w:val="18"/>
              </w:rPr>
              <w:t>w</w:t>
            </w:r>
            <w:r w:rsidRPr="00524089">
              <w:rPr>
                <w:rFonts w:asciiTheme="minorHAnsi" w:hAnsiTheme="minorHAnsi" w:cstheme="minorHAnsi"/>
                <w:sz w:val="18"/>
                <w:szCs w:val="18"/>
              </w:rPr>
              <w:t xml:space="preserve"> stosunku do najdłuższego</w:t>
            </w:r>
          </w:p>
        </w:tc>
      </w:tr>
      <w:tr w:rsidR="00C0702A" w:rsidRPr="00524089" w:rsidTr="00845B14">
        <w:trPr>
          <w:trHeight w:val="1788"/>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3.</w:t>
            </w:r>
          </w:p>
        </w:tc>
        <w:tc>
          <w:tcPr>
            <w:tcW w:w="8221" w:type="dxa"/>
            <w:shd w:val="clear" w:color="auto" w:fill="FFFFFF"/>
            <w:vAlign w:val="center"/>
          </w:tcPr>
          <w:p w:rsidR="00C0702A" w:rsidRPr="00524089" w:rsidRDefault="00C0702A" w:rsidP="00845B14">
            <w:pPr>
              <w:rPr>
                <w:rFonts w:asciiTheme="minorHAnsi" w:hAnsiTheme="minorHAnsi" w:cstheme="minorHAnsi"/>
                <w:b/>
                <w:sz w:val="18"/>
                <w:szCs w:val="18"/>
              </w:rPr>
            </w:pPr>
            <w:r w:rsidRPr="00524089">
              <w:rPr>
                <w:rFonts w:asciiTheme="minorHAnsi" w:hAnsiTheme="minorHAnsi" w:cstheme="minorHAnsi"/>
                <w:b/>
                <w:sz w:val="18"/>
                <w:szCs w:val="18"/>
              </w:rPr>
              <w:t>Dotyczy wszystkich oferowanych monitorów medycznych opisowych klasy RTG oraz TK/MR</w:t>
            </w:r>
          </w:p>
          <w:p w:rsidR="00C0702A" w:rsidRPr="00524089" w:rsidRDefault="00C0702A" w:rsidP="00845B14">
            <w:pPr>
              <w:rPr>
                <w:rFonts w:asciiTheme="minorHAnsi" w:hAnsiTheme="minorHAnsi" w:cstheme="minorHAnsi"/>
                <w:b/>
                <w:sz w:val="18"/>
                <w:szCs w:val="18"/>
              </w:rPr>
            </w:pPr>
          </w:p>
          <w:p w:rsidR="00C0702A" w:rsidRPr="00524089" w:rsidRDefault="00C0702A" w:rsidP="00845B14">
            <w:pPr>
              <w:rPr>
                <w:rFonts w:asciiTheme="minorHAnsi" w:hAnsiTheme="minorHAnsi" w:cstheme="minorHAnsi"/>
                <w:sz w:val="18"/>
                <w:szCs w:val="18"/>
              </w:rPr>
            </w:pPr>
            <w:r w:rsidRPr="00524089">
              <w:rPr>
                <w:rFonts w:asciiTheme="minorHAnsi" w:hAnsiTheme="minorHAnsi" w:cstheme="minorHAnsi"/>
                <w:sz w:val="18"/>
                <w:szCs w:val="18"/>
              </w:rPr>
              <w:t>Okres gwarancji [liczba miesięcy]</w:t>
            </w:r>
          </w:p>
          <w:p w:rsidR="00C0702A" w:rsidRPr="00524089" w:rsidRDefault="00C0702A" w:rsidP="006021D1">
            <w:pPr>
              <w:rPr>
                <w:rFonts w:asciiTheme="minorHAnsi" w:hAnsiTheme="minorHAnsi" w:cstheme="minorHAnsi"/>
                <w:sz w:val="18"/>
                <w:szCs w:val="18"/>
              </w:rPr>
            </w:pPr>
            <w:r w:rsidRPr="00524089">
              <w:rPr>
                <w:rFonts w:asciiTheme="minorHAnsi" w:hAnsiTheme="minorHAnsi" w:cstheme="minorHAns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r w:rsidR="006021D1">
              <w:rPr>
                <w:rFonts w:asciiTheme="minorHAnsi" w:hAnsiTheme="minorHAnsi" w:cstheme="minorHAnsi"/>
                <w:sz w:val="18"/>
                <w:szCs w:val="18"/>
              </w:rPr>
              <w:t xml:space="preserve"> Gwarancja obejmuje także spełnienie pozytywnych wyników testów specjalistycznych wykonanych przez uprawnione  jednostki w myśl aktualnego stanu prawnego. </w:t>
            </w:r>
          </w:p>
        </w:tc>
        <w:tc>
          <w:tcPr>
            <w:tcW w:w="1418" w:type="dxa"/>
            <w:shd w:val="clear" w:color="auto" w:fill="FFFFFF"/>
            <w:vAlign w:val="center"/>
          </w:tcPr>
          <w:p w:rsidR="00C0702A" w:rsidRPr="00524089" w:rsidRDefault="00C0702A" w:rsidP="00845B14">
            <w:pPr>
              <w:jc w:val="center"/>
              <w:rPr>
                <w:rFonts w:asciiTheme="minorHAnsi" w:hAnsiTheme="minorHAnsi" w:cstheme="minorHAnsi"/>
                <w:sz w:val="18"/>
                <w:szCs w:val="18"/>
              </w:rPr>
            </w:pPr>
            <w:r w:rsidRPr="00524089">
              <w:rPr>
                <w:rFonts w:asciiTheme="minorHAnsi" w:hAnsiTheme="minorHAnsi" w:cstheme="minorHAnsi"/>
                <w:sz w:val="18"/>
                <w:szCs w:val="18"/>
              </w:rPr>
              <w:t>&gt;= 24</w:t>
            </w:r>
          </w:p>
        </w:tc>
        <w:tc>
          <w:tcPr>
            <w:tcW w:w="2409" w:type="dxa"/>
            <w:shd w:val="clear" w:color="auto" w:fill="FFFFFF"/>
            <w:vAlign w:val="center"/>
          </w:tcPr>
          <w:p w:rsidR="00C0702A" w:rsidRPr="00524089"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524089" w:rsidRDefault="00C0702A" w:rsidP="00845B14">
            <w:pPr>
              <w:jc w:val="center"/>
              <w:rPr>
                <w:rFonts w:asciiTheme="minorHAnsi" w:hAnsiTheme="minorHAnsi" w:cstheme="minorHAnsi"/>
                <w:sz w:val="18"/>
                <w:szCs w:val="18"/>
              </w:rPr>
            </w:pPr>
            <w:r w:rsidRPr="00524089">
              <w:rPr>
                <w:rFonts w:asciiTheme="minorHAnsi" w:hAnsiTheme="minorHAnsi" w:cstheme="minorHAnsi"/>
                <w:sz w:val="18"/>
                <w:szCs w:val="18"/>
              </w:rPr>
              <w:t>Najdłuższy okres ponad minimalnie wymagany – 20 pkt.</w:t>
            </w:r>
          </w:p>
          <w:p w:rsidR="00C0702A" w:rsidRPr="00524089" w:rsidRDefault="00C0702A" w:rsidP="00845B14">
            <w:pPr>
              <w:jc w:val="center"/>
              <w:rPr>
                <w:rFonts w:asciiTheme="minorHAnsi" w:hAnsiTheme="minorHAnsi" w:cstheme="minorHAnsi"/>
                <w:sz w:val="18"/>
                <w:szCs w:val="18"/>
              </w:rPr>
            </w:pPr>
            <w:r w:rsidRPr="00524089">
              <w:rPr>
                <w:rFonts w:asciiTheme="minorHAnsi" w:hAnsiTheme="minorHAnsi" w:cstheme="minorHAnsi"/>
                <w:sz w:val="18"/>
                <w:szCs w:val="18"/>
              </w:rPr>
              <w:t xml:space="preserve">Inne – proporcjonalnie mniej  </w:t>
            </w:r>
            <w:r w:rsidR="007C0B06">
              <w:rPr>
                <w:rFonts w:asciiTheme="minorHAnsi" w:hAnsiTheme="minorHAnsi" w:cstheme="minorHAnsi"/>
                <w:sz w:val="18"/>
                <w:szCs w:val="18"/>
              </w:rPr>
              <w:t xml:space="preserve">w </w:t>
            </w:r>
            <w:r w:rsidRPr="00524089">
              <w:rPr>
                <w:rFonts w:asciiTheme="minorHAnsi" w:hAnsiTheme="minorHAnsi" w:cstheme="minorHAnsi"/>
                <w:sz w:val="18"/>
                <w:szCs w:val="18"/>
              </w:rPr>
              <w:t>stosunku do najdłuższego</w:t>
            </w:r>
          </w:p>
        </w:tc>
      </w:tr>
      <w:tr w:rsidR="00C0702A" w:rsidRPr="0005372E" w:rsidTr="00845B14">
        <w:trPr>
          <w:trHeight w:val="524"/>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4.</w:t>
            </w:r>
          </w:p>
        </w:tc>
        <w:tc>
          <w:tcPr>
            <w:tcW w:w="8221" w:type="dxa"/>
            <w:shd w:val="clear" w:color="auto" w:fill="FFFFFF"/>
            <w:vAlign w:val="center"/>
          </w:tcPr>
          <w:p w:rsidR="00C0702A" w:rsidRPr="0005372E" w:rsidRDefault="00C0702A" w:rsidP="005B4AA9">
            <w:pPr>
              <w:rPr>
                <w:rFonts w:asciiTheme="minorHAnsi" w:hAnsiTheme="minorHAnsi" w:cstheme="minorHAnsi"/>
                <w:sz w:val="18"/>
                <w:szCs w:val="18"/>
              </w:rPr>
            </w:pPr>
            <w:r w:rsidRPr="0005372E">
              <w:rPr>
                <w:rFonts w:asciiTheme="minorHAnsi" w:hAnsiTheme="minorHAnsi" w:cstheme="minorHAnsi"/>
                <w:sz w:val="18"/>
                <w:szCs w:val="18"/>
              </w:rPr>
              <w:t xml:space="preserve">Zapewnienie  dostępu części zamiennych dla monitorów [liczba lat] – min. </w:t>
            </w:r>
            <w:r w:rsidR="005B4AA9">
              <w:rPr>
                <w:rFonts w:asciiTheme="minorHAnsi" w:hAnsiTheme="minorHAnsi" w:cstheme="minorHAnsi"/>
                <w:sz w:val="18"/>
                <w:szCs w:val="18"/>
              </w:rPr>
              <w:t>5</w:t>
            </w:r>
            <w:r w:rsidRPr="0005372E">
              <w:rPr>
                <w:rFonts w:asciiTheme="minorHAnsi" w:hAnsiTheme="minorHAnsi" w:cstheme="minorHAnsi"/>
                <w:sz w:val="18"/>
                <w:szCs w:val="18"/>
              </w:rPr>
              <w:t xml:space="preserve"> lat sprzęt komputerowy – min. </w:t>
            </w:r>
            <w:r w:rsidR="005B4AA9">
              <w:rPr>
                <w:rFonts w:asciiTheme="minorHAnsi" w:hAnsiTheme="minorHAnsi" w:cstheme="minorHAnsi"/>
                <w:sz w:val="18"/>
                <w:szCs w:val="18"/>
              </w:rPr>
              <w:t>2</w:t>
            </w:r>
            <w:r w:rsidRPr="0005372E">
              <w:rPr>
                <w:rFonts w:asciiTheme="minorHAnsi" w:hAnsiTheme="minorHAnsi" w:cstheme="minorHAnsi"/>
                <w:sz w:val="18"/>
                <w:szCs w:val="18"/>
              </w:rPr>
              <w:t xml:space="preserve"> lat, </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rHeight w:val="299"/>
          <w:tblHeader/>
        </w:trPr>
        <w:tc>
          <w:tcPr>
            <w:tcW w:w="426" w:type="dxa"/>
            <w:shd w:val="clear" w:color="auto" w:fill="FFFFFF"/>
            <w:vAlign w:val="center"/>
          </w:tcPr>
          <w:p w:rsidR="00C0702A" w:rsidRPr="00524089" w:rsidRDefault="00C0702A" w:rsidP="00845B14">
            <w:pPr>
              <w:rPr>
                <w:rFonts w:asciiTheme="minorHAnsi" w:hAnsiTheme="minorHAnsi" w:cstheme="minorHAnsi"/>
                <w:sz w:val="18"/>
                <w:szCs w:val="18"/>
              </w:rPr>
            </w:pPr>
            <w:r w:rsidRPr="00524089">
              <w:rPr>
                <w:rFonts w:asciiTheme="minorHAnsi" w:hAnsiTheme="minorHAnsi" w:cstheme="minorHAnsi"/>
                <w:sz w:val="18"/>
                <w:szCs w:val="18"/>
              </w:rPr>
              <w:t>5.</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Termin gwarancji przedłuża się o liczbę dni, w ciągu których Szpital Uniwersytecki nie mógł korzystać ze sprzętu</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rHeight w:val="163"/>
          <w:tblHeader/>
        </w:trPr>
        <w:tc>
          <w:tcPr>
            <w:tcW w:w="426" w:type="dxa"/>
            <w:shd w:val="clear" w:color="auto" w:fill="EEECE1"/>
            <w:vAlign w:val="center"/>
          </w:tcPr>
          <w:p w:rsidR="00C0702A" w:rsidRPr="00524089" w:rsidRDefault="00C0702A" w:rsidP="00845B14">
            <w:pPr>
              <w:rPr>
                <w:rFonts w:asciiTheme="minorHAnsi" w:hAnsiTheme="minorHAnsi" w:cstheme="minorHAnsi"/>
                <w:b/>
                <w:sz w:val="18"/>
                <w:szCs w:val="18"/>
              </w:rPr>
            </w:pPr>
            <w:r w:rsidRPr="00524089">
              <w:rPr>
                <w:rFonts w:asciiTheme="minorHAnsi" w:hAnsiTheme="minorHAnsi" w:cstheme="minorHAnsi"/>
                <w:b/>
                <w:sz w:val="18"/>
                <w:szCs w:val="18"/>
              </w:rPr>
              <w:t>6.</w:t>
            </w:r>
          </w:p>
        </w:tc>
        <w:tc>
          <w:tcPr>
            <w:tcW w:w="8221" w:type="dxa"/>
            <w:shd w:val="clear" w:color="auto" w:fill="EEECE1"/>
            <w:vAlign w:val="center"/>
          </w:tcPr>
          <w:p w:rsidR="00C0702A" w:rsidRPr="0005372E" w:rsidRDefault="00C0702A" w:rsidP="00845B14">
            <w:pPr>
              <w:rPr>
                <w:rFonts w:asciiTheme="minorHAnsi" w:hAnsiTheme="minorHAnsi" w:cstheme="minorHAnsi"/>
                <w:b/>
                <w:sz w:val="18"/>
                <w:szCs w:val="18"/>
              </w:rPr>
            </w:pPr>
            <w:r w:rsidRPr="0005372E">
              <w:rPr>
                <w:rFonts w:asciiTheme="minorHAnsi" w:hAnsiTheme="minorHAnsi" w:cstheme="minorHAnsi"/>
                <w:b/>
                <w:sz w:val="18"/>
                <w:szCs w:val="18"/>
              </w:rPr>
              <w:t>WARUNKI SERWISU</w:t>
            </w:r>
          </w:p>
        </w:tc>
        <w:tc>
          <w:tcPr>
            <w:tcW w:w="1418"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c>
          <w:tcPr>
            <w:tcW w:w="2409" w:type="dxa"/>
            <w:shd w:val="clear" w:color="auto" w:fill="EEECE1"/>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r>
      <w:tr w:rsidR="00C0702A" w:rsidRPr="0005372E" w:rsidTr="00845B14">
        <w:trPr>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7.</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W cenie oferty -  przeglądy okresowe w okresie gwarancji (w częstotliwości i w zakresie zgodnym z wymogami producenta)</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8.</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Wszystkie czynności serwisowe, w tym przeglądy konserwacyjne, w okresie gwarancji - w ramach wynagrodzenia umownego</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9.</w:t>
            </w:r>
          </w:p>
        </w:tc>
        <w:tc>
          <w:tcPr>
            <w:tcW w:w="8221" w:type="dxa"/>
            <w:shd w:val="clear" w:color="auto" w:fill="FFFFFF"/>
            <w:vAlign w:val="center"/>
          </w:tcPr>
          <w:p w:rsidR="00C0702A" w:rsidRPr="0005372E" w:rsidRDefault="00C0702A" w:rsidP="00B40869">
            <w:pPr>
              <w:rPr>
                <w:rFonts w:asciiTheme="minorHAnsi" w:hAnsiTheme="minorHAnsi" w:cstheme="minorHAnsi"/>
                <w:sz w:val="18"/>
                <w:szCs w:val="18"/>
              </w:rPr>
            </w:pPr>
            <w:r w:rsidRPr="0005372E">
              <w:rPr>
                <w:rFonts w:asciiTheme="minorHAnsi" w:hAnsiTheme="minorHAnsi" w:cstheme="minorHAnsi"/>
                <w:sz w:val="18"/>
                <w:szCs w:val="18"/>
              </w:rPr>
              <w:t>Czas reakcji (dotyczy także reakcji zdalnej): „przyjęte zgłoszenie – podjęta naprawa” =&lt;</w:t>
            </w:r>
            <w:r w:rsidR="00B40869">
              <w:rPr>
                <w:rFonts w:asciiTheme="minorHAnsi" w:hAnsiTheme="minorHAnsi" w:cstheme="minorHAnsi"/>
                <w:sz w:val="18"/>
                <w:szCs w:val="18"/>
              </w:rPr>
              <w:t>48</w:t>
            </w:r>
            <w:r w:rsidRPr="0005372E">
              <w:rPr>
                <w:rFonts w:asciiTheme="minorHAnsi" w:hAnsiTheme="minorHAnsi" w:cstheme="minorHAnsi"/>
                <w:sz w:val="18"/>
                <w:szCs w:val="18"/>
              </w:rPr>
              <w:t xml:space="preserve"> [godz.]</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lastRenderedPageBreak/>
              <w:t>10.</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Możliwość zgłoszeń 24h/dobę, 365 dni/rok</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11.</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Wymiana każdego podzespołu na nowy po pierwszej  nieskutecznej próbie jego naprawy</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12</w:t>
            </w:r>
            <w:r w:rsidR="00C0702A" w:rsidRPr="0005372E">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B40869">
            <w:pPr>
              <w:rPr>
                <w:rFonts w:asciiTheme="minorHAnsi" w:hAnsiTheme="minorHAnsi" w:cstheme="minorHAnsi"/>
                <w:sz w:val="18"/>
                <w:szCs w:val="18"/>
              </w:rPr>
            </w:pPr>
            <w:r w:rsidRPr="0005372E">
              <w:rPr>
                <w:rFonts w:asciiTheme="minorHAnsi" w:hAnsiTheme="minorHAnsi" w:cstheme="minorHAnsi"/>
                <w:sz w:val="18"/>
                <w:szCs w:val="18"/>
              </w:rPr>
              <w:t xml:space="preserve">Zakończenie działań serwisowych – najpóźniej w czasie nie dłuższym niż </w:t>
            </w:r>
            <w:r w:rsidR="00B40869">
              <w:rPr>
                <w:rFonts w:asciiTheme="minorHAnsi" w:hAnsiTheme="minorHAnsi" w:cstheme="minorHAnsi"/>
                <w:sz w:val="18"/>
                <w:szCs w:val="18"/>
              </w:rPr>
              <w:t>5</w:t>
            </w:r>
            <w:r w:rsidRPr="0005372E">
              <w:rPr>
                <w:rFonts w:asciiTheme="minorHAnsi" w:hAnsiTheme="minorHAnsi" w:cstheme="minorHAnsi"/>
                <w:sz w:val="18"/>
                <w:szCs w:val="18"/>
              </w:rPr>
              <w:t xml:space="preserve"> dni roboczych od dnia zgłoszenia awarii, a w przypadku konieczności importu części zamiennych, nie dłuższym niż </w:t>
            </w:r>
            <w:r w:rsidR="00B40869">
              <w:rPr>
                <w:rFonts w:asciiTheme="minorHAnsi" w:hAnsiTheme="minorHAnsi" w:cstheme="minorHAnsi"/>
                <w:sz w:val="18"/>
                <w:szCs w:val="18"/>
              </w:rPr>
              <w:t>10</w:t>
            </w:r>
            <w:r w:rsidRPr="0005372E">
              <w:rPr>
                <w:rFonts w:asciiTheme="minorHAnsi" w:hAnsiTheme="minorHAnsi" w:cstheme="minorHAnsi"/>
                <w:sz w:val="18"/>
                <w:szCs w:val="18"/>
              </w:rPr>
              <w:t xml:space="preserve"> dni roboczych od dnia zgłoszenia awarii.</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rHeight w:val="980"/>
          <w:tblHeader/>
        </w:trPr>
        <w:tc>
          <w:tcPr>
            <w:tcW w:w="426" w:type="dxa"/>
            <w:shd w:val="clear" w:color="auto" w:fill="FFFFFF"/>
            <w:vAlign w:val="center"/>
          </w:tcPr>
          <w:p w:rsidR="00C0702A" w:rsidRPr="00B0329F" w:rsidRDefault="009E25F1" w:rsidP="00845B14">
            <w:pPr>
              <w:rPr>
                <w:rFonts w:asciiTheme="minorHAnsi" w:hAnsiTheme="minorHAnsi" w:cstheme="minorHAnsi"/>
                <w:sz w:val="18"/>
                <w:szCs w:val="18"/>
              </w:rPr>
            </w:pPr>
            <w:r>
              <w:rPr>
                <w:rFonts w:asciiTheme="minorHAnsi" w:hAnsiTheme="minorHAnsi" w:cstheme="minorHAnsi"/>
                <w:sz w:val="18"/>
                <w:szCs w:val="18"/>
              </w:rPr>
              <w:t>13</w:t>
            </w:r>
            <w:r w:rsidR="00C0702A" w:rsidRPr="00B0329F">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EEECE1"/>
            <w:vAlign w:val="center"/>
          </w:tcPr>
          <w:p w:rsidR="00C0702A" w:rsidRPr="00B0329F" w:rsidRDefault="009E25F1" w:rsidP="00845B14">
            <w:pPr>
              <w:rPr>
                <w:rFonts w:asciiTheme="minorHAnsi" w:hAnsiTheme="minorHAnsi" w:cstheme="minorHAnsi"/>
                <w:b/>
                <w:sz w:val="18"/>
                <w:szCs w:val="18"/>
              </w:rPr>
            </w:pPr>
            <w:r>
              <w:rPr>
                <w:rFonts w:asciiTheme="minorHAnsi" w:hAnsiTheme="minorHAnsi" w:cstheme="minorHAnsi"/>
                <w:b/>
                <w:sz w:val="18"/>
                <w:szCs w:val="18"/>
              </w:rPr>
              <w:t>14</w:t>
            </w:r>
            <w:r w:rsidR="00C0702A" w:rsidRPr="00B0329F">
              <w:rPr>
                <w:rFonts w:asciiTheme="minorHAnsi" w:hAnsiTheme="minorHAnsi" w:cstheme="minorHAnsi"/>
                <w:b/>
                <w:sz w:val="18"/>
                <w:szCs w:val="18"/>
              </w:rPr>
              <w:t>.</w:t>
            </w:r>
          </w:p>
        </w:tc>
        <w:tc>
          <w:tcPr>
            <w:tcW w:w="8221" w:type="dxa"/>
            <w:shd w:val="clear" w:color="auto" w:fill="EEECE1"/>
            <w:vAlign w:val="center"/>
          </w:tcPr>
          <w:p w:rsidR="00C0702A" w:rsidRPr="0005372E" w:rsidRDefault="00C0702A" w:rsidP="00845B14">
            <w:pPr>
              <w:rPr>
                <w:rFonts w:asciiTheme="minorHAnsi" w:hAnsiTheme="minorHAnsi" w:cstheme="minorHAnsi"/>
                <w:b/>
                <w:sz w:val="18"/>
                <w:szCs w:val="18"/>
              </w:rPr>
            </w:pPr>
            <w:r w:rsidRPr="0005372E">
              <w:rPr>
                <w:rFonts w:asciiTheme="minorHAnsi" w:hAnsiTheme="minorHAnsi" w:cstheme="minorHAnsi"/>
                <w:b/>
                <w:sz w:val="18"/>
                <w:szCs w:val="18"/>
              </w:rPr>
              <w:t>SZKOLENIA</w:t>
            </w:r>
          </w:p>
        </w:tc>
        <w:tc>
          <w:tcPr>
            <w:tcW w:w="1418"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c>
          <w:tcPr>
            <w:tcW w:w="2409" w:type="dxa"/>
            <w:shd w:val="clear" w:color="auto" w:fill="EEECE1"/>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r>
      <w:tr w:rsidR="00C0702A" w:rsidRPr="0005372E" w:rsidTr="00845B14">
        <w:trPr>
          <w:tblHeader/>
        </w:trPr>
        <w:tc>
          <w:tcPr>
            <w:tcW w:w="426" w:type="dxa"/>
            <w:shd w:val="clear" w:color="auto" w:fill="FFFFFF"/>
            <w:vAlign w:val="center"/>
          </w:tcPr>
          <w:p w:rsidR="00C0702A" w:rsidRPr="00B0329F" w:rsidRDefault="009E25F1" w:rsidP="00845B14">
            <w:pPr>
              <w:rPr>
                <w:rFonts w:asciiTheme="minorHAnsi" w:hAnsiTheme="minorHAnsi" w:cstheme="minorHAnsi"/>
                <w:sz w:val="18"/>
                <w:szCs w:val="18"/>
              </w:rPr>
            </w:pPr>
            <w:r>
              <w:rPr>
                <w:rFonts w:asciiTheme="minorHAnsi" w:hAnsiTheme="minorHAnsi" w:cstheme="minorHAnsi"/>
                <w:sz w:val="18"/>
                <w:szCs w:val="18"/>
              </w:rPr>
              <w:t>15</w:t>
            </w:r>
            <w:r w:rsidR="00C0702A" w:rsidRPr="00B0329F">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Szkolenie dla personelu z zakresu obsługi i kalibracji urządzeń min. 3 osoby w terminie uzgodnionym;</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EEECE1"/>
            <w:vAlign w:val="center"/>
          </w:tcPr>
          <w:p w:rsidR="00C0702A" w:rsidRPr="00B0329F" w:rsidRDefault="009E25F1" w:rsidP="00845B14">
            <w:pPr>
              <w:rPr>
                <w:rFonts w:asciiTheme="minorHAnsi" w:hAnsiTheme="minorHAnsi" w:cstheme="minorHAnsi"/>
                <w:b/>
                <w:sz w:val="18"/>
                <w:szCs w:val="18"/>
              </w:rPr>
            </w:pPr>
            <w:r>
              <w:rPr>
                <w:rFonts w:asciiTheme="minorHAnsi" w:hAnsiTheme="minorHAnsi" w:cstheme="minorHAnsi"/>
                <w:b/>
                <w:sz w:val="18"/>
                <w:szCs w:val="18"/>
              </w:rPr>
              <w:t>16</w:t>
            </w:r>
            <w:r w:rsidR="00C0702A" w:rsidRPr="00B0329F">
              <w:rPr>
                <w:rFonts w:asciiTheme="minorHAnsi" w:hAnsiTheme="minorHAnsi" w:cstheme="minorHAnsi"/>
                <w:b/>
                <w:sz w:val="18"/>
                <w:szCs w:val="18"/>
              </w:rPr>
              <w:t>.</w:t>
            </w:r>
          </w:p>
        </w:tc>
        <w:tc>
          <w:tcPr>
            <w:tcW w:w="8221" w:type="dxa"/>
            <w:shd w:val="clear" w:color="auto" w:fill="EEECE1"/>
            <w:vAlign w:val="center"/>
          </w:tcPr>
          <w:p w:rsidR="00C0702A" w:rsidRPr="0005372E" w:rsidRDefault="00C0702A" w:rsidP="00845B14">
            <w:pPr>
              <w:rPr>
                <w:rFonts w:asciiTheme="minorHAnsi" w:hAnsiTheme="minorHAnsi" w:cstheme="minorHAnsi"/>
                <w:b/>
                <w:sz w:val="18"/>
                <w:szCs w:val="18"/>
              </w:rPr>
            </w:pPr>
            <w:r w:rsidRPr="0005372E">
              <w:rPr>
                <w:rFonts w:asciiTheme="minorHAnsi" w:hAnsiTheme="minorHAnsi" w:cstheme="minorHAnsi"/>
                <w:b/>
                <w:sz w:val="18"/>
                <w:szCs w:val="18"/>
              </w:rPr>
              <w:t>DOKUMENTACJA</w:t>
            </w:r>
          </w:p>
        </w:tc>
        <w:tc>
          <w:tcPr>
            <w:tcW w:w="1418"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c>
          <w:tcPr>
            <w:tcW w:w="2409" w:type="dxa"/>
            <w:shd w:val="clear" w:color="auto" w:fill="EEECE1"/>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r>
      <w:tr w:rsidR="00C0702A" w:rsidRPr="0005372E" w:rsidTr="00845B14">
        <w:trPr>
          <w:tblHeader/>
        </w:trPr>
        <w:tc>
          <w:tcPr>
            <w:tcW w:w="426" w:type="dxa"/>
            <w:shd w:val="clear" w:color="auto" w:fill="FFFFFF"/>
            <w:vAlign w:val="center"/>
          </w:tcPr>
          <w:p w:rsidR="00C0702A" w:rsidRPr="00B0329F" w:rsidRDefault="009E25F1" w:rsidP="00845B14">
            <w:pPr>
              <w:rPr>
                <w:rFonts w:asciiTheme="minorHAnsi" w:hAnsiTheme="minorHAnsi" w:cstheme="minorHAnsi"/>
                <w:sz w:val="18"/>
                <w:szCs w:val="18"/>
              </w:rPr>
            </w:pPr>
            <w:r>
              <w:rPr>
                <w:rFonts w:asciiTheme="minorHAnsi" w:hAnsiTheme="minorHAnsi" w:cstheme="minorHAnsi"/>
                <w:sz w:val="18"/>
                <w:szCs w:val="18"/>
              </w:rPr>
              <w:t>17</w:t>
            </w:r>
            <w:r w:rsidR="00C0702A" w:rsidRPr="00B0329F">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18</w:t>
            </w:r>
            <w:r w:rsidR="00C0702A" w:rsidRPr="0005372E">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rHeight w:val="874"/>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19</w:t>
            </w:r>
            <w:r w:rsidR="00C0702A" w:rsidRPr="0005372E">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Dokumentacja (lub tzw. lista kontrolna zawierająca wykaz części i czynności) dotycząca przeglądów technicznych w języku polskim (dostarczona przy dostawie)</w:t>
            </w:r>
          </w:p>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20</w:t>
            </w:r>
            <w:r w:rsidR="00C0702A" w:rsidRPr="0005372E">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rHeight w:val="375"/>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21</w:t>
            </w:r>
            <w:r w:rsidR="00C0702A" w:rsidRPr="0005372E">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Instrukcja konserwacji, mycia, dezynfekcji i sterylizacji dla poszczególnych elementów stacji. (wykaz środków do czyszczenia dostarczony wraz z urządzeniami)</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22</w:t>
            </w:r>
            <w:r w:rsidR="00C0702A" w:rsidRPr="0005372E">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Możliwość mycia poszczególnych elementów stacji w oparciu o przedstawione przez wykonawcę zalecane preparaty myjące.</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0702A" w:rsidRPr="0005372E" w:rsidTr="00845B14">
        <w:trPr>
          <w:tblHeader/>
        </w:trPr>
        <w:tc>
          <w:tcPr>
            <w:tcW w:w="426" w:type="dxa"/>
            <w:shd w:val="clear" w:color="auto" w:fill="EEECE1"/>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lastRenderedPageBreak/>
              <w:t>23</w:t>
            </w:r>
            <w:r w:rsidR="00C0702A" w:rsidRPr="0005372E">
              <w:rPr>
                <w:rFonts w:asciiTheme="minorHAnsi" w:hAnsiTheme="minorHAnsi" w:cstheme="minorHAnsi"/>
                <w:sz w:val="18"/>
                <w:szCs w:val="18"/>
              </w:rPr>
              <w:t>.</w:t>
            </w:r>
          </w:p>
        </w:tc>
        <w:tc>
          <w:tcPr>
            <w:tcW w:w="8221" w:type="dxa"/>
            <w:shd w:val="clear" w:color="auto" w:fill="EEECE1"/>
            <w:vAlign w:val="center"/>
          </w:tcPr>
          <w:p w:rsidR="00C0702A" w:rsidRPr="0005372E" w:rsidRDefault="00C0702A" w:rsidP="00845B14">
            <w:pPr>
              <w:rPr>
                <w:rFonts w:asciiTheme="minorHAnsi" w:hAnsiTheme="minorHAnsi" w:cstheme="minorHAnsi"/>
                <w:b/>
                <w:sz w:val="18"/>
                <w:szCs w:val="18"/>
              </w:rPr>
            </w:pPr>
            <w:r w:rsidRPr="0005372E">
              <w:rPr>
                <w:rFonts w:asciiTheme="minorHAnsi" w:hAnsiTheme="minorHAnsi" w:cstheme="minorHAnsi"/>
                <w:b/>
                <w:sz w:val="18"/>
                <w:szCs w:val="18"/>
              </w:rPr>
              <w:t>INNE</w:t>
            </w:r>
          </w:p>
        </w:tc>
        <w:tc>
          <w:tcPr>
            <w:tcW w:w="1418"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c>
          <w:tcPr>
            <w:tcW w:w="2409" w:type="dxa"/>
            <w:shd w:val="clear" w:color="auto" w:fill="EEECE1"/>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EEECE1"/>
            <w:vAlign w:val="center"/>
          </w:tcPr>
          <w:p w:rsidR="00C0702A" w:rsidRPr="0005372E" w:rsidRDefault="00C0702A" w:rsidP="00845B14">
            <w:pPr>
              <w:jc w:val="center"/>
              <w:rPr>
                <w:rFonts w:asciiTheme="minorHAnsi" w:hAnsiTheme="minorHAnsi" w:cstheme="minorHAnsi"/>
                <w:sz w:val="18"/>
                <w:szCs w:val="18"/>
              </w:rPr>
            </w:pPr>
          </w:p>
        </w:tc>
      </w:tr>
      <w:tr w:rsidR="00C0702A" w:rsidRPr="0005372E" w:rsidTr="00845B14">
        <w:trPr>
          <w:tblHeader/>
        </w:trPr>
        <w:tc>
          <w:tcPr>
            <w:tcW w:w="426" w:type="dxa"/>
            <w:shd w:val="clear" w:color="auto" w:fill="FFFFFF"/>
            <w:vAlign w:val="center"/>
          </w:tcPr>
          <w:p w:rsidR="00C0702A" w:rsidRPr="0005372E" w:rsidRDefault="009E25F1" w:rsidP="00845B14">
            <w:pPr>
              <w:rPr>
                <w:rFonts w:asciiTheme="minorHAnsi" w:hAnsiTheme="minorHAnsi" w:cstheme="minorHAnsi"/>
                <w:sz w:val="18"/>
                <w:szCs w:val="18"/>
              </w:rPr>
            </w:pPr>
            <w:r>
              <w:rPr>
                <w:rFonts w:asciiTheme="minorHAnsi" w:hAnsiTheme="minorHAnsi" w:cstheme="minorHAnsi"/>
                <w:sz w:val="18"/>
                <w:szCs w:val="18"/>
              </w:rPr>
              <w:t>24</w:t>
            </w:r>
            <w:r w:rsidR="00C0702A">
              <w:rPr>
                <w:rFonts w:asciiTheme="minorHAnsi" w:hAnsiTheme="minorHAnsi" w:cstheme="minorHAnsi"/>
                <w:sz w:val="18"/>
                <w:szCs w:val="18"/>
              </w:rPr>
              <w:t>.</w:t>
            </w:r>
          </w:p>
        </w:tc>
        <w:tc>
          <w:tcPr>
            <w:tcW w:w="8221" w:type="dxa"/>
            <w:shd w:val="clear" w:color="auto" w:fill="FFFFFF"/>
            <w:vAlign w:val="center"/>
          </w:tcPr>
          <w:p w:rsidR="00C0702A" w:rsidRPr="0005372E" w:rsidRDefault="00C0702A" w:rsidP="00845B14">
            <w:pPr>
              <w:rPr>
                <w:rFonts w:asciiTheme="minorHAnsi" w:hAnsiTheme="minorHAnsi" w:cstheme="minorHAnsi"/>
                <w:sz w:val="18"/>
                <w:szCs w:val="18"/>
              </w:rPr>
            </w:pPr>
            <w:r w:rsidRPr="0005372E">
              <w:rPr>
                <w:rFonts w:asciiTheme="minorHAnsi" w:hAnsiTheme="minorHAnsi" w:cstheme="minorHAns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0702A" w:rsidRPr="0005372E" w:rsidRDefault="00C0702A" w:rsidP="00845B14">
            <w:pPr>
              <w:rPr>
                <w:rFonts w:asciiTheme="minorHAnsi" w:hAnsiTheme="minorHAnsi" w:cstheme="minorHAnsi"/>
                <w:sz w:val="18"/>
                <w:szCs w:val="18"/>
              </w:rPr>
            </w:pPr>
          </w:p>
        </w:tc>
        <w:tc>
          <w:tcPr>
            <w:tcW w:w="1560" w:type="dxa"/>
            <w:shd w:val="clear" w:color="auto" w:fill="FFFFFF"/>
            <w:vAlign w:val="center"/>
          </w:tcPr>
          <w:p w:rsidR="00C0702A" w:rsidRPr="0005372E" w:rsidRDefault="00C0702A" w:rsidP="00845B14">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r w:rsidR="00CE07D2" w:rsidRPr="0005372E" w:rsidTr="00845B14">
        <w:trPr>
          <w:tblHeader/>
        </w:trPr>
        <w:tc>
          <w:tcPr>
            <w:tcW w:w="426" w:type="dxa"/>
            <w:shd w:val="clear" w:color="auto" w:fill="FFFFFF"/>
            <w:vAlign w:val="center"/>
          </w:tcPr>
          <w:p w:rsidR="00CE07D2" w:rsidRDefault="009E25F1" w:rsidP="00845B14">
            <w:pPr>
              <w:rPr>
                <w:rFonts w:asciiTheme="minorHAnsi" w:hAnsiTheme="minorHAnsi" w:cstheme="minorHAnsi"/>
                <w:sz w:val="18"/>
                <w:szCs w:val="18"/>
              </w:rPr>
            </w:pPr>
            <w:r>
              <w:rPr>
                <w:rFonts w:asciiTheme="minorHAnsi" w:hAnsiTheme="minorHAnsi" w:cstheme="minorHAnsi"/>
                <w:sz w:val="18"/>
                <w:szCs w:val="18"/>
              </w:rPr>
              <w:t>25</w:t>
            </w:r>
            <w:r w:rsidR="00CE07D2">
              <w:rPr>
                <w:rFonts w:asciiTheme="minorHAnsi" w:hAnsiTheme="minorHAnsi" w:cstheme="minorHAnsi"/>
                <w:sz w:val="18"/>
                <w:szCs w:val="18"/>
              </w:rPr>
              <w:t>.</w:t>
            </w:r>
          </w:p>
        </w:tc>
        <w:tc>
          <w:tcPr>
            <w:tcW w:w="8221" w:type="dxa"/>
            <w:shd w:val="clear" w:color="auto" w:fill="FFFFFF"/>
            <w:vAlign w:val="center"/>
          </w:tcPr>
          <w:p w:rsidR="00CE07D2" w:rsidRPr="009E25F1" w:rsidRDefault="00CE07D2" w:rsidP="00845B14">
            <w:pPr>
              <w:rPr>
                <w:rFonts w:asciiTheme="minorHAnsi" w:hAnsiTheme="minorHAnsi" w:cstheme="minorHAnsi"/>
                <w:sz w:val="18"/>
                <w:szCs w:val="18"/>
              </w:rPr>
            </w:pPr>
            <w:r w:rsidRPr="009E25F1">
              <w:rPr>
                <w:rFonts w:asciiTheme="minorHAnsi" w:hAnsiTheme="minorHAnsi" w:cstheme="minorHAnsi"/>
                <w:sz w:val="18"/>
                <w:szCs w:val="18"/>
              </w:rPr>
              <w:t xml:space="preserve">Testy specjalistyczne wykonane po dostawie sprzętu. </w:t>
            </w:r>
          </w:p>
        </w:tc>
        <w:tc>
          <w:tcPr>
            <w:tcW w:w="1418" w:type="dxa"/>
            <w:shd w:val="clear" w:color="auto" w:fill="FFFFFF"/>
            <w:vAlign w:val="center"/>
          </w:tcPr>
          <w:p w:rsidR="00CE07D2" w:rsidRPr="0005372E" w:rsidRDefault="00CE07D2" w:rsidP="00352A63">
            <w:pPr>
              <w:jc w:val="center"/>
              <w:rPr>
                <w:rFonts w:asciiTheme="minorHAnsi" w:hAnsiTheme="minorHAnsi" w:cstheme="minorHAnsi"/>
                <w:sz w:val="18"/>
                <w:szCs w:val="18"/>
              </w:rPr>
            </w:pPr>
            <w:r w:rsidRPr="0005372E">
              <w:rPr>
                <w:rFonts w:asciiTheme="minorHAnsi" w:hAnsiTheme="minorHAnsi" w:cstheme="minorHAnsi"/>
                <w:sz w:val="18"/>
                <w:szCs w:val="18"/>
              </w:rPr>
              <w:t>Tak</w:t>
            </w:r>
          </w:p>
        </w:tc>
        <w:tc>
          <w:tcPr>
            <w:tcW w:w="2409" w:type="dxa"/>
            <w:shd w:val="clear" w:color="auto" w:fill="FFFFFF"/>
            <w:vAlign w:val="center"/>
          </w:tcPr>
          <w:p w:rsidR="00CE07D2" w:rsidRPr="0005372E" w:rsidRDefault="00CE07D2" w:rsidP="00352A63">
            <w:pPr>
              <w:rPr>
                <w:rFonts w:asciiTheme="minorHAnsi" w:hAnsiTheme="minorHAnsi" w:cstheme="minorHAnsi"/>
                <w:sz w:val="18"/>
                <w:szCs w:val="18"/>
              </w:rPr>
            </w:pPr>
          </w:p>
        </w:tc>
        <w:tc>
          <w:tcPr>
            <w:tcW w:w="1560" w:type="dxa"/>
            <w:shd w:val="clear" w:color="auto" w:fill="FFFFFF"/>
            <w:vAlign w:val="center"/>
          </w:tcPr>
          <w:p w:rsidR="00CE07D2" w:rsidRPr="0005372E" w:rsidRDefault="00CE07D2" w:rsidP="00352A63">
            <w:pPr>
              <w:jc w:val="center"/>
              <w:rPr>
                <w:rFonts w:asciiTheme="minorHAnsi" w:hAnsiTheme="minorHAnsi" w:cstheme="minorHAnsi"/>
                <w:sz w:val="18"/>
                <w:szCs w:val="18"/>
              </w:rPr>
            </w:pPr>
            <w:r w:rsidRPr="0005372E">
              <w:rPr>
                <w:rFonts w:asciiTheme="minorHAnsi" w:hAnsiTheme="minorHAnsi" w:cstheme="minorHAnsi"/>
                <w:sz w:val="18"/>
                <w:szCs w:val="18"/>
              </w:rPr>
              <w:t>Bez oceny</w:t>
            </w:r>
          </w:p>
        </w:tc>
      </w:tr>
    </w:tbl>
    <w:p w:rsidR="00C0702A" w:rsidRPr="0002705C" w:rsidRDefault="00C0702A" w:rsidP="00C0702A">
      <w:pPr>
        <w:widowControl/>
        <w:suppressAutoHyphens w:val="0"/>
        <w:spacing w:line="288" w:lineRule="auto"/>
        <w:rPr>
          <w:rFonts w:asciiTheme="minorHAnsi" w:hAnsiTheme="minorHAnsi" w:cstheme="minorHAnsi"/>
          <w:b/>
          <w:color w:val="FF0000"/>
          <w:kern w:val="0"/>
          <w:sz w:val="20"/>
          <w:szCs w:val="20"/>
          <w:lang w:eastAsia="en-US"/>
        </w:rPr>
      </w:pPr>
    </w:p>
    <w:p w:rsidR="00C0702A" w:rsidRPr="0002705C" w:rsidRDefault="00C0702A" w:rsidP="00C0702A">
      <w:pPr>
        <w:widowControl/>
        <w:suppressAutoHyphens w:val="0"/>
        <w:spacing w:line="288" w:lineRule="auto"/>
        <w:rPr>
          <w:rFonts w:asciiTheme="minorHAnsi" w:hAnsiTheme="minorHAnsi" w:cstheme="minorHAnsi"/>
          <w:b/>
          <w:color w:val="FF0000"/>
          <w:kern w:val="0"/>
          <w:sz w:val="20"/>
          <w:szCs w:val="20"/>
          <w:lang w:eastAsia="en-US"/>
        </w:rPr>
      </w:pPr>
      <w:bookmarkStart w:id="0" w:name="_GoBack"/>
      <w:bookmarkEnd w:id="0"/>
    </w:p>
    <w:p w:rsidR="00C0702A" w:rsidRPr="0002705C" w:rsidRDefault="00C0702A" w:rsidP="00C0702A">
      <w:pPr>
        <w:widowControl/>
        <w:suppressAutoHyphens w:val="0"/>
        <w:spacing w:line="288" w:lineRule="auto"/>
        <w:rPr>
          <w:rFonts w:asciiTheme="minorHAnsi" w:hAnsiTheme="minorHAnsi" w:cstheme="minorHAnsi"/>
          <w:b/>
          <w:color w:val="FF0000"/>
          <w:kern w:val="0"/>
          <w:sz w:val="20"/>
          <w:szCs w:val="20"/>
          <w:lang w:eastAsia="en-US"/>
        </w:rPr>
      </w:pPr>
    </w:p>
    <w:p w:rsidR="00CF0900" w:rsidRPr="00873809" w:rsidRDefault="00CF0900" w:rsidP="00D63846">
      <w:pPr>
        <w:widowControl/>
        <w:suppressAutoHyphens w:val="0"/>
        <w:spacing w:line="288" w:lineRule="auto"/>
        <w:rPr>
          <w:rFonts w:ascii="Garamond" w:hAnsi="Garamond" w:cs="Calibri"/>
          <w:b/>
          <w:kern w:val="0"/>
          <w:sz w:val="22"/>
          <w:szCs w:val="22"/>
          <w:lang w:eastAsia="en-US"/>
        </w:rPr>
      </w:pPr>
    </w:p>
    <w:p w:rsidR="00CF0900" w:rsidRPr="00873809" w:rsidRDefault="00CF0900" w:rsidP="00D63846">
      <w:pPr>
        <w:widowControl/>
        <w:suppressAutoHyphens w:val="0"/>
        <w:spacing w:line="288" w:lineRule="auto"/>
        <w:rPr>
          <w:rFonts w:ascii="Garamond" w:hAnsi="Garamond" w:cs="Calibri"/>
          <w:b/>
          <w:kern w:val="0"/>
          <w:sz w:val="22"/>
          <w:szCs w:val="22"/>
          <w:lang w:eastAsia="en-US"/>
        </w:rPr>
      </w:pPr>
    </w:p>
    <w:p w:rsidR="00484F4B" w:rsidRPr="00873809" w:rsidRDefault="00484F4B" w:rsidP="00D63846">
      <w:pPr>
        <w:rPr>
          <w:rFonts w:ascii="Garamond" w:hAnsi="Garamond" w:cs="Calibri"/>
          <w:sz w:val="22"/>
          <w:szCs w:val="22"/>
        </w:rPr>
      </w:pPr>
    </w:p>
    <w:p w:rsidR="00CF0900" w:rsidRPr="00873809" w:rsidRDefault="00CF0900" w:rsidP="00D63846">
      <w:pPr>
        <w:rPr>
          <w:rFonts w:ascii="Garamond" w:hAnsi="Garamond" w:cs="Calibri"/>
          <w:sz w:val="22"/>
          <w:szCs w:val="22"/>
        </w:rPr>
      </w:pPr>
    </w:p>
    <w:p w:rsidR="00CF0900" w:rsidRPr="00873809" w:rsidRDefault="00CF0900" w:rsidP="00580FAC">
      <w:pPr>
        <w:jc w:val="center"/>
        <w:rPr>
          <w:rFonts w:ascii="Garamond" w:hAnsi="Garamond" w:cs="Calibri"/>
          <w:b/>
          <w:sz w:val="22"/>
          <w:szCs w:val="22"/>
          <w:lang w:eastAsia="pl-PL" w:bidi="hi-IN"/>
        </w:rPr>
      </w:pPr>
    </w:p>
    <w:p w:rsidR="00CF0900" w:rsidRPr="00873809" w:rsidRDefault="00CF0900" w:rsidP="00580FAC">
      <w:pPr>
        <w:jc w:val="center"/>
        <w:rPr>
          <w:rFonts w:ascii="Garamond" w:hAnsi="Garamond" w:cs="Calibri"/>
          <w:b/>
          <w:sz w:val="22"/>
          <w:szCs w:val="22"/>
          <w:lang w:eastAsia="pl-PL" w:bidi="hi-IN"/>
        </w:rPr>
      </w:pPr>
    </w:p>
    <w:sectPr w:rsidR="00CF0900" w:rsidRPr="00873809"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65" w:rsidRDefault="004B5F65" w:rsidP="00C53912">
      <w:r>
        <w:separator/>
      </w:r>
    </w:p>
  </w:endnote>
  <w:endnote w:type="continuationSeparator" w:id="0">
    <w:p w:rsidR="004B5F65" w:rsidRDefault="004B5F65"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65" w:rsidRDefault="004B5F65" w:rsidP="00C53912">
      <w:r>
        <w:separator/>
      </w:r>
    </w:p>
  </w:footnote>
  <w:footnote w:type="continuationSeparator" w:id="0">
    <w:p w:rsidR="004B5F65" w:rsidRDefault="004B5F65" w:rsidP="00C53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69" w:rsidRDefault="00873809"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extent cx="7538085" cy="866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866775"/>
                  </a:xfrm>
                  <a:prstGeom prst="rect">
                    <a:avLst/>
                  </a:prstGeom>
                  <a:noFill/>
                  <a:ln>
                    <a:noFill/>
                  </a:ln>
                </pic:spPr>
              </pic:pic>
            </a:graphicData>
          </a:graphic>
        </wp:inline>
      </w:drawing>
    </w:r>
  </w:p>
  <w:p w:rsidR="00EC7A69" w:rsidRDefault="00CC6298"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color w:val="000000"/>
        <w:sz w:val="22"/>
        <w:szCs w:val="22"/>
        <w:lang w:eastAsia="pl-PL" w:bidi="hi-IN"/>
      </w:rPr>
      <w:t>NSSU.</w:t>
    </w:r>
    <w:r w:rsidR="00EC7A69" w:rsidRPr="009342CB">
      <w:rPr>
        <w:rFonts w:ascii="Garamond" w:hAnsi="Garamond"/>
        <w:color w:val="000000"/>
        <w:sz w:val="22"/>
        <w:szCs w:val="22"/>
        <w:lang w:eastAsia="pl-PL" w:bidi="hi-IN"/>
      </w:rPr>
      <w:t>DFP.</w:t>
    </w:r>
    <w:r w:rsidR="00873809">
      <w:rPr>
        <w:rFonts w:ascii="Garamond" w:hAnsi="Garamond"/>
        <w:color w:val="000000"/>
        <w:sz w:val="22"/>
        <w:szCs w:val="22"/>
        <w:lang w:eastAsia="pl-PL" w:bidi="hi-IN"/>
      </w:rPr>
      <w:t>271.8.2019.KB</w:t>
    </w:r>
    <w:r w:rsidR="00EC7A69">
      <w:rPr>
        <w:rFonts w:ascii="Garamond" w:hAnsi="Garamond"/>
        <w:kern w:val="0"/>
        <w:sz w:val="22"/>
        <w:szCs w:val="22"/>
        <w:lang w:eastAsia="pl-PL"/>
      </w:rPr>
      <w:tab/>
    </w:r>
    <w:r w:rsidR="00EC7A69">
      <w:rPr>
        <w:rFonts w:ascii="Garamond" w:hAnsi="Garamond"/>
        <w:kern w:val="0"/>
        <w:sz w:val="22"/>
        <w:szCs w:val="22"/>
        <w:lang w:eastAsia="pl-PL"/>
      </w:rPr>
      <w:tab/>
    </w:r>
    <w:r w:rsidR="00EC7A69" w:rsidRPr="00FF03BC">
      <w:rPr>
        <w:rFonts w:ascii="Garamond" w:hAnsi="Garamond"/>
        <w:kern w:val="0"/>
        <w:sz w:val="22"/>
        <w:szCs w:val="22"/>
        <w:lang w:eastAsia="pl-PL"/>
      </w:rPr>
      <w:t>Załącznik nr 1a do specyfikacji</w:t>
    </w:r>
  </w:p>
  <w:p w:rsidR="00EC7A69" w:rsidRPr="00C53912" w:rsidRDefault="00EC7A69"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12"/>
    <w:rsid w:val="000266AB"/>
    <w:rsid w:val="00026CE1"/>
    <w:rsid w:val="00044C83"/>
    <w:rsid w:val="000472C6"/>
    <w:rsid w:val="000D301C"/>
    <w:rsid w:val="0010787B"/>
    <w:rsid w:val="001352FB"/>
    <w:rsid w:val="00140A73"/>
    <w:rsid w:val="00176BEC"/>
    <w:rsid w:val="00183B4E"/>
    <w:rsid w:val="00184363"/>
    <w:rsid w:val="001C7B64"/>
    <w:rsid w:val="00202945"/>
    <w:rsid w:val="00202FF4"/>
    <w:rsid w:val="002044A7"/>
    <w:rsid w:val="002C4BA1"/>
    <w:rsid w:val="002F100C"/>
    <w:rsid w:val="003464FA"/>
    <w:rsid w:val="003B12B3"/>
    <w:rsid w:val="00411D53"/>
    <w:rsid w:val="00457D7C"/>
    <w:rsid w:val="00484F4B"/>
    <w:rsid w:val="004A3998"/>
    <w:rsid w:val="004B5F65"/>
    <w:rsid w:val="004D797C"/>
    <w:rsid w:val="004E3A82"/>
    <w:rsid w:val="00536B8B"/>
    <w:rsid w:val="00580FAC"/>
    <w:rsid w:val="00586707"/>
    <w:rsid w:val="0059363C"/>
    <w:rsid w:val="005A70AC"/>
    <w:rsid w:val="005B4AA9"/>
    <w:rsid w:val="005C1699"/>
    <w:rsid w:val="006021D1"/>
    <w:rsid w:val="00665414"/>
    <w:rsid w:val="00672C5C"/>
    <w:rsid w:val="006749CC"/>
    <w:rsid w:val="0068346E"/>
    <w:rsid w:val="006F3521"/>
    <w:rsid w:val="00727B09"/>
    <w:rsid w:val="00732721"/>
    <w:rsid w:val="00791394"/>
    <w:rsid w:val="007C0B06"/>
    <w:rsid w:val="007E16F8"/>
    <w:rsid w:val="007F783A"/>
    <w:rsid w:val="00846C37"/>
    <w:rsid w:val="00873809"/>
    <w:rsid w:val="008D0227"/>
    <w:rsid w:val="009107CB"/>
    <w:rsid w:val="00914D30"/>
    <w:rsid w:val="00925FF9"/>
    <w:rsid w:val="009342CB"/>
    <w:rsid w:val="00986AE2"/>
    <w:rsid w:val="009B4CB5"/>
    <w:rsid w:val="009C5E8B"/>
    <w:rsid w:val="009D4BAB"/>
    <w:rsid w:val="009E25F1"/>
    <w:rsid w:val="009F5044"/>
    <w:rsid w:val="00A71690"/>
    <w:rsid w:val="00AF2D0A"/>
    <w:rsid w:val="00B40869"/>
    <w:rsid w:val="00B57A08"/>
    <w:rsid w:val="00BC7CD5"/>
    <w:rsid w:val="00C0702A"/>
    <w:rsid w:val="00C1220E"/>
    <w:rsid w:val="00C43BE7"/>
    <w:rsid w:val="00C50F01"/>
    <w:rsid w:val="00C53912"/>
    <w:rsid w:val="00C621A5"/>
    <w:rsid w:val="00C9520D"/>
    <w:rsid w:val="00CC6298"/>
    <w:rsid w:val="00CC79C4"/>
    <w:rsid w:val="00CD6051"/>
    <w:rsid w:val="00CD681F"/>
    <w:rsid w:val="00CE07D2"/>
    <w:rsid w:val="00CF0900"/>
    <w:rsid w:val="00CF6342"/>
    <w:rsid w:val="00D33311"/>
    <w:rsid w:val="00D53F2B"/>
    <w:rsid w:val="00D63846"/>
    <w:rsid w:val="00D66EFC"/>
    <w:rsid w:val="00D90B71"/>
    <w:rsid w:val="00E11428"/>
    <w:rsid w:val="00E66B8F"/>
    <w:rsid w:val="00E93C67"/>
    <w:rsid w:val="00EC41ED"/>
    <w:rsid w:val="00EC7A69"/>
    <w:rsid w:val="00EE242A"/>
    <w:rsid w:val="00F23C11"/>
    <w:rsid w:val="00F33680"/>
    <w:rsid w:val="00F57001"/>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F92DF"/>
  <w15:docId w15:val="{81BB8776-DD1D-4F36-AC17-0CC2F945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873809"/>
    <w:pPr>
      <w:widowControl/>
      <w:suppressAutoHyphens w:val="0"/>
    </w:pPr>
    <w:rPr>
      <w:rFonts w:ascii="Calibri" w:eastAsia="Calibri" w:hAnsi="Calibri"/>
      <w:kern w:val="0"/>
      <w:sz w:val="22"/>
      <w:szCs w:val="21"/>
      <w:lang w:eastAsia="en-US"/>
    </w:rPr>
  </w:style>
  <w:style w:type="character" w:customStyle="1" w:styleId="ZwykytekstZnak">
    <w:name w:val="Zwykły tekst Znak"/>
    <w:basedOn w:val="Domylnaczcionkaakapitu"/>
    <w:link w:val="Zwykytekst"/>
    <w:uiPriority w:val="99"/>
    <w:semiHidden/>
    <w:rsid w:val="00873809"/>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8C7AD-E747-4D0E-B164-15E74602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1446</Words>
  <Characters>8680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Brzdękiewicz</cp:lastModifiedBy>
  <cp:revision>3</cp:revision>
  <dcterms:created xsi:type="dcterms:W3CDTF">2019-02-25T12:02:00Z</dcterms:created>
  <dcterms:modified xsi:type="dcterms:W3CDTF">2019-02-25T12:17:00Z</dcterms:modified>
</cp:coreProperties>
</file>