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A988C" w14:textId="77777777" w:rsidR="001F330F" w:rsidRDefault="001F330F"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10</w:t>
      </w:r>
    </w:p>
    <w:p w14:paraId="22AB16AA"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18914F80"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19A3AFE1" w14:textId="0C4426BC" w:rsidR="008A7CF8" w:rsidRDefault="001F330F" w:rsidP="00A7276B">
      <w:pPr>
        <w:tabs>
          <w:tab w:val="center" w:pos="7002"/>
          <w:tab w:val="left" w:pos="11430"/>
        </w:tabs>
        <w:spacing w:before="100" w:beforeAutospacing="1" w:after="100" w:afterAutospacing="1" w:line="288" w:lineRule="auto"/>
        <w:ind w:left="4536" w:firstLine="993"/>
        <w:rPr>
          <w:rFonts w:ascii="Century Gothic" w:hAnsi="Century Gothic" w:cs="Times New Roman"/>
          <w:b/>
          <w:sz w:val="18"/>
          <w:szCs w:val="18"/>
        </w:rPr>
      </w:pPr>
      <w:r>
        <w:rPr>
          <w:rFonts w:ascii="Century Gothic" w:hAnsi="Century Gothic" w:cs="Times New Roman"/>
          <w:b/>
          <w:sz w:val="18"/>
          <w:szCs w:val="18"/>
        </w:rPr>
        <w:t xml:space="preserve">            A</w:t>
      </w:r>
      <w:r w:rsidRPr="002778FB">
        <w:rPr>
          <w:rFonts w:ascii="Century Gothic" w:hAnsi="Century Gothic" w:cs="Times New Roman"/>
          <w:b/>
          <w:sz w:val="18"/>
          <w:szCs w:val="18"/>
        </w:rPr>
        <w:t>p</w:t>
      </w:r>
      <w:r>
        <w:rPr>
          <w:rFonts w:ascii="Century Gothic" w:hAnsi="Century Gothic" w:cs="Times New Roman"/>
          <w:b/>
          <w:sz w:val="18"/>
          <w:szCs w:val="18"/>
        </w:rPr>
        <w:t xml:space="preserve">arat EMG - </w:t>
      </w:r>
      <w:r w:rsidR="00A7276B">
        <w:rPr>
          <w:rFonts w:ascii="Century Gothic" w:hAnsi="Century Gothic" w:cs="Times New Roman"/>
          <w:b/>
          <w:sz w:val="18"/>
          <w:szCs w:val="18"/>
        </w:rPr>
        <w:t>2</w:t>
      </w:r>
      <w:r w:rsidRPr="00814F28">
        <w:rPr>
          <w:rFonts w:ascii="Century Gothic" w:hAnsi="Century Gothic" w:cs="Times New Roman"/>
          <w:b/>
          <w:sz w:val="18"/>
          <w:szCs w:val="18"/>
        </w:rPr>
        <w:t xml:space="preserve"> szt.</w:t>
      </w:r>
      <w:r>
        <w:rPr>
          <w:rFonts w:ascii="Century Gothic" w:hAnsi="Century Gothic" w:cs="Times New Roman"/>
          <w:b/>
          <w:sz w:val="18"/>
          <w:szCs w:val="18"/>
        </w:rPr>
        <w:t xml:space="preserve">                                                                                                                                                                                                                                        </w:t>
      </w:r>
      <w:bookmarkStart w:id="0" w:name="_GoBack"/>
      <w:bookmarkEnd w:id="0"/>
    </w:p>
    <w:p w14:paraId="379EFE11"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379F8A45"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8595E9"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A7276B">
              <w:rPr>
                <w:rFonts w:ascii="Century Gothic" w:hAnsi="Century Gothic" w:cs="Times New Roman"/>
                <w:b/>
                <w:sz w:val="18"/>
                <w:szCs w:val="18"/>
              </w:rPr>
              <w:t xml:space="preserve"> A</w:t>
            </w:r>
            <w:r w:rsidR="00A7276B" w:rsidRPr="002778FB">
              <w:rPr>
                <w:rFonts w:ascii="Century Gothic" w:hAnsi="Century Gothic" w:cs="Times New Roman"/>
                <w:b/>
                <w:sz w:val="18"/>
                <w:szCs w:val="18"/>
              </w:rPr>
              <w:t>p</w:t>
            </w:r>
            <w:r w:rsidR="00A7276B">
              <w:rPr>
                <w:rFonts w:ascii="Century Gothic" w:hAnsi="Century Gothic" w:cs="Times New Roman"/>
                <w:b/>
                <w:sz w:val="18"/>
                <w:szCs w:val="18"/>
              </w:rPr>
              <w:t>arat EMG</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4D4ED47"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68EC416B"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E884BDC"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4DD32C1C"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39500B4F" w14:textId="2D1C5E4A"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 xml:space="preserve">Cena jednostkowa brutto </w:t>
            </w:r>
            <w:r w:rsidR="00FE6846" w:rsidRPr="00FE6846">
              <w:rPr>
                <w:rFonts w:ascii="Century Gothic" w:eastAsia="Times New Roman" w:hAnsi="Century Gothic" w:cs="Times New Roman"/>
                <w:bCs/>
                <w:sz w:val="18"/>
                <w:szCs w:val="18"/>
              </w:rPr>
              <w:t xml:space="preserve">wraz z dostawą </w:t>
            </w:r>
            <w:r w:rsidRPr="00FE19DB">
              <w:rPr>
                <w:rFonts w:ascii="Century Gothic" w:eastAsia="Times New Roman" w:hAnsi="Century Gothic" w:cs="Times New Roman"/>
                <w:bCs/>
                <w:sz w:val="18"/>
                <w:szCs w:val="18"/>
              </w:rPr>
              <w:t>(zł):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4ECEA712"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232B7B45"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4A968495"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0B691263" w14:textId="77777777" w:rsidR="008A7CF8" w:rsidRPr="00FE19DB" w:rsidRDefault="00A7276B"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2</w:t>
            </w:r>
          </w:p>
        </w:tc>
        <w:tc>
          <w:tcPr>
            <w:tcW w:w="3379" w:type="dxa"/>
            <w:tcBorders>
              <w:top w:val="nil"/>
              <w:left w:val="single" w:sz="8" w:space="0" w:color="auto"/>
              <w:bottom w:val="single" w:sz="8" w:space="0" w:color="auto"/>
              <w:right w:val="single" w:sz="8" w:space="0" w:color="auto"/>
            </w:tcBorders>
            <w:vAlign w:val="center"/>
          </w:tcPr>
          <w:p w14:paraId="58F313AA"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00464757"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7BD4A081"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624D56A"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E1C3972"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2A528EBC"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71E69C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4CBD260"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20C35ADF"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3A7E5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B0CAFDC"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0181EF96" w14:textId="77777777" w:rsidR="001F330F" w:rsidRPr="00814F28" w:rsidRDefault="001F330F" w:rsidP="008A7CF8">
      <w:pPr>
        <w:tabs>
          <w:tab w:val="center" w:pos="7002"/>
          <w:tab w:val="left" w:pos="11430"/>
        </w:tabs>
        <w:spacing w:after="0" w:line="288" w:lineRule="auto"/>
        <w:ind w:left="5954" w:hanging="425"/>
        <w:rPr>
          <w:rFonts w:ascii="Century Gothic" w:hAnsi="Century Gothic" w:cs="Times New Roman"/>
          <w:b/>
          <w:sz w:val="18"/>
          <w:szCs w:val="18"/>
        </w:rPr>
      </w:pPr>
      <w:r w:rsidRPr="00814F28">
        <w:rPr>
          <w:rFonts w:ascii="Century Gothic" w:hAnsi="Century Gothic" w:cs="Times New Roman"/>
          <w:b/>
          <w:sz w:val="18"/>
          <w:szCs w:val="18"/>
        </w:rPr>
        <w:tab/>
      </w:r>
    </w:p>
    <w:p w14:paraId="70D10769"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1E1630A6" w14:textId="77777777" w:rsidR="001F330F" w:rsidRDefault="001F330F" w:rsidP="001F330F">
      <w:pPr>
        <w:pStyle w:val="Standard"/>
        <w:spacing w:line="288" w:lineRule="auto"/>
        <w:rPr>
          <w:rFonts w:ascii="Century Gothic" w:hAnsi="Century Gothic" w:cs="Times New Roman"/>
          <w:sz w:val="18"/>
          <w:szCs w:val="18"/>
        </w:rPr>
      </w:pPr>
    </w:p>
    <w:p w14:paraId="545505BA"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5CC99DF7"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3DBDEE1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3A62B3C7"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7797BC92"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132A20BB" w14:textId="77777777" w:rsidR="001F330F" w:rsidRDefault="001F330F" w:rsidP="001F330F">
      <w:pPr>
        <w:pStyle w:val="Standard"/>
        <w:spacing w:line="288" w:lineRule="auto"/>
        <w:rPr>
          <w:rFonts w:ascii="Century Gothic" w:hAnsi="Century Gothic" w:cs="Times New Roman"/>
          <w:sz w:val="18"/>
          <w:szCs w:val="18"/>
        </w:rPr>
      </w:pPr>
    </w:p>
    <w:p w14:paraId="52366ACB"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0CABC4D1" w14:textId="77777777" w:rsidR="001F330F" w:rsidRDefault="001F330F" w:rsidP="001F330F">
      <w:pPr>
        <w:pStyle w:val="Standard"/>
        <w:spacing w:line="288" w:lineRule="auto"/>
        <w:rPr>
          <w:rFonts w:ascii="Century Gothic" w:hAnsi="Century Gothic" w:cs="Times New Roman"/>
          <w:sz w:val="18"/>
          <w:szCs w:val="18"/>
        </w:rPr>
      </w:pPr>
    </w:p>
    <w:p w14:paraId="34AA3BF3"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01CAB1B2" w14:textId="77777777" w:rsidR="001F330F" w:rsidRDefault="001F330F" w:rsidP="001F330F">
      <w:pPr>
        <w:pStyle w:val="Standard"/>
        <w:spacing w:line="288" w:lineRule="auto"/>
        <w:rPr>
          <w:rFonts w:ascii="Century Gothic" w:hAnsi="Century Gothic" w:cs="Times New Roman"/>
          <w:sz w:val="18"/>
          <w:szCs w:val="18"/>
        </w:rPr>
      </w:pPr>
    </w:p>
    <w:p w14:paraId="580FBA07"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6E607981" w14:textId="77777777" w:rsidR="001F330F" w:rsidRDefault="001F330F" w:rsidP="001F330F">
      <w:pPr>
        <w:pStyle w:val="Standard"/>
        <w:spacing w:line="288" w:lineRule="auto"/>
        <w:rPr>
          <w:rFonts w:ascii="Century Gothic" w:hAnsi="Century Gothic" w:cs="Times New Roman"/>
          <w:sz w:val="18"/>
          <w:szCs w:val="18"/>
        </w:rPr>
      </w:pPr>
    </w:p>
    <w:p w14:paraId="06224E57"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6D241879" w14:textId="77777777" w:rsidR="001F330F" w:rsidRPr="00814F28" w:rsidRDefault="001F330F" w:rsidP="001F330F">
      <w:pPr>
        <w:pStyle w:val="Standard"/>
        <w:spacing w:line="288" w:lineRule="auto"/>
        <w:rPr>
          <w:rFonts w:ascii="Century Gothic" w:hAnsi="Century Gothic" w:cs="Times New Roman"/>
          <w:b/>
          <w:bCs/>
          <w:sz w:val="18"/>
          <w:szCs w:val="18"/>
        </w:rPr>
      </w:pPr>
    </w:p>
    <w:p w14:paraId="1CCBD4FE"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52B6D1A4"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7F6B9E88" w14:textId="77777777" w:rsidTr="00F04A70">
        <w:tc>
          <w:tcPr>
            <w:tcW w:w="709" w:type="dxa"/>
            <w:vAlign w:val="center"/>
          </w:tcPr>
          <w:p w14:paraId="4A95515A"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5D5EBC31"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16667D1E"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74DAAF27"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047E6169"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2637A57A" w14:textId="77777777" w:rsidTr="009B5B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EADB9BF" w14:textId="77777777" w:rsidR="001F330F" w:rsidRPr="009B5B48" w:rsidRDefault="001F330F" w:rsidP="009B5B48">
            <w:pPr>
              <w:pStyle w:val="Akapitzlist"/>
              <w:numPr>
                <w:ilvl w:val="0"/>
                <w:numId w:val="2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9BBB56B" w14:textId="77777777" w:rsidR="001F330F" w:rsidRPr="00814F28" w:rsidRDefault="001F330F" w:rsidP="00F04A70">
            <w:pPr>
              <w:spacing w:after="0"/>
              <w:rPr>
                <w:rFonts w:ascii="Century Gothic" w:hAnsi="Century Gothic" w:cs="Times New Roman"/>
                <w:color w:val="000000"/>
                <w:sz w:val="18"/>
                <w:szCs w:val="18"/>
              </w:rPr>
            </w:pPr>
            <w:r w:rsidRPr="00F65746">
              <w:rPr>
                <w:rFonts w:ascii="Century Gothic" w:hAnsi="Century Gothic" w:cs="Times New Roman"/>
                <w:color w:val="000000"/>
                <w:sz w:val="18"/>
                <w:szCs w:val="18"/>
              </w:rPr>
              <w:t>Urządzenie do rejestracji potencjałó</w:t>
            </w:r>
            <w:r>
              <w:rPr>
                <w:rFonts w:ascii="Century Gothic" w:hAnsi="Century Gothic" w:cs="Times New Roman"/>
                <w:color w:val="000000"/>
                <w:sz w:val="18"/>
                <w:szCs w:val="18"/>
              </w:rPr>
              <w:t>w</w:t>
            </w:r>
            <w:r w:rsidRPr="00F65746">
              <w:rPr>
                <w:rFonts w:ascii="Century Gothic" w:hAnsi="Century Gothic" w:cs="Times New Roman"/>
                <w:color w:val="000000"/>
                <w:sz w:val="18"/>
                <w:szCs w:val="18"/>
              </w:rPr>
              <w:t xml:space="preserve"> mięśniowych (elektromiogramu)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12BAC5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37EDFEB"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561063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25167220"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FD3EFCB"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40A31A9C"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Aparat stacjonarny, bazujący na systemie komputerowym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C40A0AC"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660C3B1" w14:textId="77777777" w:rsidR="009B5B48" w:rsidRPr="00814F28" w:rsidRDefault="009B5B48"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9405C02"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0976050D"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924EE58"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48D89310"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minimalne parametry komputera: </w:t>
            </w:r>
          </w:p>
          <w:p w14:paraId="378EB8A3"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Procesor, </w:t>
            </w:r>
            <w:r w:rsidRPr="009B5B48">
              <w:rPr>
                <w:rFonts w:ascii="Century Gothic" w:hAnsi="Century Gothic" w:cs="Times New Roman"/>
                <w:sz w:val="18"/>
                <w:szCs w:val="18"/>
              </w:rPr>
              <w:t>który w teście PASSMARK osiąga wynik  min. 8000</w:t>
            </w:r>
            <w:r w:rsidRPr="009B5B48">
              <w:rPr>
                <w:rFonts w:ascii="Century Gothic" w:hAnsi="Century Gothic" w:cs="Times New Roman"/>
                <w:color w:val="000000"/>
                <w:sz w:val="18"/>
                <w:szCs w:val="18"/>
              </w:rPr>
              <w:t>, min. 8 GB RAM,</w:t>
            </w:r>
          </w:p>
          <w:p w14:paraId="794E074C" w14:textId="77777777" w:rsidR="009B5B48" w:rsidRPr="009B5B48" w:rsidRDefault="009B5B48" w:rsidP="009B5B48">
            <w:pPr>
              <w:spacing w:after="0"/>
              <w:rPr>
                <w:rFonts w:ascii="Century Gothic" w:hAnsi="Century Gothic" w:cs="Times New Roman"/>
                <w:color w:val="000000"/>
                <w:sz w:val="18"/>
                <w:szCs w:val="18"/>
              </w:rPr>
            </w:pPr>
            <w:r w:rsidRPr="009C2BD4">
              <w:rPr>
                <w:rFonts w:ascii="Century Gothic" w:hAnsi="Century Gothic" w:cs="Times New Roman"/>
                <w:color w:val="000000"/>
                <w:sz w:val="18"/>
                <w:szCs w:val="18"/>
              </w:rPr>
              <w:t>min. 1 TB HDD,</w:t>
            </w:r>
            <w:r w:rsidR="009C2BD4" w:rsidRPr="009C2BD4">
              <w:rPr>
                <w:rFonts w:ascii="Century Gothic" w:hAnsi="Century Gothic" w:cs="Times New Roman"/>
                <w:color w:val="000000"/>
                <w:sz w:val="18"/>
                <w:szCs w:val="18"/>
              </w:rPr>
              <w:t xml:space="preserve"> m</w:t>
            </w:r>
            <w:r w:rsidRPr="009C2BD4">
              <w:rPr>
                <w:rFonts w:ascii="Century Gothic" w:hAnsi="Century Gothic" w:cs="Times New Roman"/>
                <w:color w:val="000000"/>
                <w:sz w:val="18"/>
                <w:szCs w:val="18"/>
              </w:rPr>
              <w:t xml:space="preserve">onitor LCD min. 23”, </w:t>
            </w:r>
            <w:r w:rsidR="009C2BD4" w:rsidRPr="009C2BD4">
              <w:rPr>
                <w:rFonts w:ascii="Century Gothic" w:hAnsi="Century Gothic" w:cs="Times New Roman"/>
                <w:color w:val="000000"/>
                <w:sz w:val="18"/>
                <w:szCs w:val="18"/>
              </w:rPr>
              <w:t>k</w:t>
            </w:r>
            <w:r w:rsidRPr="009B5B48">
              <w:rPr>
                <w:rFonts w:ascii="Century Gothic" w:hAnsi="Century Gothic" w:cs="Times New Roman"/>
                <w:color w:val="000000"/>
                <w:sz w:val="18"/>
                <w:szCs w:val="18"/>
              </w:rPr>
              <w:t>lawiatura,</w:t>
            </w:r>
            <w:r w:rsidR="009C2BD4">
              <w:rPr>
                <w:rFonts w:ascii="Century Gothic" w:hAnsi="Century Gothic" w:cs="Times New Roman"/>
                <w:color w:val="000000"/>
                <w:sz w:val="18"/>
                <w:szCs w:val="18"/>
              </w:rPr>
              <w:t xml:space="preserve"> m</w:t>
            </w:r>
            <w:r w:rsidRPr="009B5B48">
              <w:rPr>
                <w:rFonts w:ascii="Century Gothic" w:hAnsi="Century Gothic" w:cs="Times New Roman"/>
                <w:color w:val="000000"/>
                <w:sz w:val="18"/>
                <w:szCs w:val="18"/>
              </w:rPr>
              <w:t>ysz,</w:t>
            </w:r>
            <w:r w:rsidR="009C2BD4">
              <w:rPr>
                <w:rFonts w:ascii="Century Gothic" w:hAnsi="Century Gothic" w:cs="Times New Roman"/>
                <w:color w:val="000000"/>
                <w:sz w:val="18"/>
                <w:szCs w:val="18"/>
              </w:rPr>
              <w:t xml:space="preserve"> </w:t>
            </w:r>
            <w:r w:rsidRPr="009B5B48">
              <w:rPr>
                <w:rFonts w:ascii="Century Gothic" w:hAnsi="Century Gothic" w:cs="Times New Roman"/>
                <w:color w:val="000000"/>
                <w:sz w:val="18"/>
                <w:szCs w:val="18"/>
              </w:rPr>
              <w:t>wbudowany napęd DVD/+R/+-RW,</w:t>
            </w:r>
            <w:r w:rsidR="009C2BD4">
              <w:rPr>
                <w:rFonts w:ascii="Century Gothic" w:hAnsi="Century Gothic" w:cs="Times New Roman"/>
                <w:color w:val="000000"/>
                <w:sz w:val="18"/>
                <w:szCs w:val="18"/>
              </w:rPr>
              <w:t xml:space="preserve"> </w:t>
            </w:r>
            <w:r w:rsidRPr="009B5B48">
              <w:rPr>
                <w:rFonts w:ascii="Century Gothic" w:hAnsi="Century Gothic" w:cs="Times New Roman"/>
                <w:color w:val="000000"/>
                <w:sz w:val="18"/>
                <w:szCs w:val="18"/>
              </w:rPr>
              <w:t>system operacyjny umożliwiający  instalację oprogramowania medycznego</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17AF6C1"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559259A" w14:textId="77777777" w:rsidR="009B5B48" w:rsidRPr="00814F28" w:rsidRDefault="009B5B48"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8045677"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45400094"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0FAC73D4"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tcPr>
          <w:p w14:paraId="65E45704"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Drukarka laserowa (wydruk w tonacji </w:t>
            </w:r>
            <w:r>
              <w:rPr>
                <w:rFonts w:ascii="Century Gothic" w:hAnsi="Century Gothic" w:cs="Times New Roman"/>
                <w:color w:val="000000"/>
                <w:sz w:val="18"/>
                <w:szCs w:val="18"/>
              </w:rPr>
              <w:t>czarno-białej)</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3EB2DD7"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04A4E78" w14:textId="77777777" w:rsidR="009B5B48" w:rsidRPr="00814F28" w:rsidRDefault="009B5B48"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DB148BA"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38CAD256"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3631518"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B2CFFB4"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Dodatkowa klawiatura komputerowa i myszka oraz pedał nożny w </w:t>
            </w:r>
          </w:p>
          <w:p w14:paraId="185A68E5"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zestawie;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76DE20"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E344FA8" w14:textId="77777777" w:rsidR="009B5B48" w:rsidRPr="00814F28" w:rsidRDefault="009B5B48"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7E0DEA8"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68A17FEC"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7F3F805"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57EBC4C"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Wzmacniacze min. 4 – kanałowe, podłączone  bezpośrednio do aparatu (modułu bazowego / panelu medycznego) o następujących parametrach minimalnych:</w:t>
            </w:r>
          </w:p>
          <w:p w14:paraId="2A0A7957" w14:textId="77777777" w:rsidR="009B5B48" w:rsidRPr="009B5B48" w:rsidRDefault="009B5B48" w:rsidP="009B5B48">
            <w:pPr>
              <w:numPr>
                <w:ilvl w:val="0"/>
                <w:numId w:val="26"/>
              </w:numPr>
              <w:tabs>
                <w:tab w:val="clear" w:pos="502"/>
              </w:tabs>
              <w:spacing w:after="0"/>
              <w:ind w:left="72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Szum własny </w:t>
            </w:r>
            <w:r>
              <w:rPr>
                <w:rFonts w:ascii="Century Gothic" w:hAnsi="Century Gothic" w:cs="Times New Roman"/>
                <w:color w:val="000000"/>
                <w:sz w:val="18"/>
                <w:szCs w:val="18"/>
              </w:rPr>
              <w:t>max.</w:t>
            </w:r>
            <w:r w:rsidRPr="009B5B48">
              <w:rPr>
                <w:rFonts w:ascii="Century Gothic" w:hAnsi="Century Gothic" w:cs="Times New Roman"/>
                <w:color w:val="000000"/>
                <w:sz w:val="18"/>
                <w:szCs w:val="18"/>
              </w:rPr>
              <w:t xml:space="preserve"> 1 </w:t>
            </w:r>
            <w:r w:rsidRPr="009B5B48">
              <w:rPr>
                <w:rFonts w:ascii="Century Gothic" w:hAnsi="Century Gothic" w:cs="Times New Roman"/>
                <w:color w:val="000000"/>
                <w:sz w:val="18"/>
                <w:szCs w:val="18"/>
              </w:rPr>
              <w:sym w:font="Symbol" w:char="F06D"/>
            </w:r>
            <w:r w:rsidRPr="009B5B48">
              <w:rPr>
                <w:rFonts w:ascii="Century Gothic" w:hAnsi="Century Gothic" w:cs="Times New Roman"/>
                <w:color w:val="000000"/>
                <w:sz w:val="18"/>
                <w:szCs w:val="18"/>
              </w:rPr>
              <w:t>V RMS;</w:t>
            </w:r>
          </w:p>
          <w:p w14:paraId="6EDDCE40" w14:textId="77777777" w:rsidR="009B5B48" w:rsidRPr="009B5B48" w:rsidRDefault="009B5B48" w:rsidP="009B5B48">
            <w:pPr>
              <w:numPr>
                <w:ilvl w:val="0"/>
                <w:numId w:val="26"/>
              </w:numPr>
              <w:tabs>
                <w:tab w:val="clear" w:pos="502"/>
              </w:tabs>
              <w:spacing w:after="0"/>
              <w:ind w:left="72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Czułość </w:t>
            </w:r>
            <w:r>
              <w:rPr>
                <w:rFonts w:ascii="Century Gothic" w:hAnsi="Century Gothic" w:cs="Times New Roman"/>
                <w:color w:val="000000"/>
                <w:sz w:val="18"/>
                <w:szCs w:val="18"/>
              </w:rPr>
              <w:t xml:space="preserve">min. </w:t>
            </w:r>
            <w:r w:rsidRPr="009B5B48">
              <w:rPr>
                <w:rFonts w:ascii="Century Gothic" w:hAnsi="Century Gothic" w:cs="Times New Roman"/>
                <w:color w:val="000000"/>
                <w:sz w:val="18"/>
                <w:szCs w:val="18"/>
              </w:rPr>
              <w:t xml:space="preserve">od 1 </w:t>
            </w:r>
            <w:r w:rsidRPr="009B5B48">
              <w:rPr>
                <w:rFonts w:ascii="Century Gothic" w:hAnsi="Century Gothic" w:cs="Times New Roman"/>
                <w:color w:val="000000"/>
                <w:sz w:val="18"/>
                <w:szCs w:val="18"/>
              </w:rPr>
              <w:sym w:font="Symbol" w:char="F06D"/>
            </w:r>
            <w:r w:rsidRPr="009B5B48">
              <w:rPr>
                <w:rFonts w:ascii="Century Gothic" w:hAnsi="Century Gothic" w:cs="Times New Roman"/>
                <w:color w:val="000000"/>
                <w:sz w:val="18"/>
                <w:szCs w:val="18"/>
              </w:rPr>
              <w:t>V/dz. do 10 mV/dz.;</w:t>
            </w:r>
          </w:p>
          <w:p w14:paraId="4E3E70AC" w14:textId="77777777" w:rsidR="009B5B48" w:rsidRPr="009B5B48" w:rsidRDefault="009B5B48" w:rsidP="009B5B48">
            <w:pPr>
              <w:numPr>
                <w:ilvl w:val="0"/>
                <w:numId w:val="26"/>
              </w:numPr>
              <w:tabs>
                <w:tab w:val="clear" w:pos="502"/>
              </w:tabs>
              <w:spacing w:after="0"/>
              <w:ind w:left="720"/>
              <w:rPr>
                <w:rFonts w:ascii="Century Gothic" w:hAnsi="Century Gothic" w:cs="Times New Roman"/>
                <w:color w:val="000000"/>
                <w:sz w:val="18"/>
                <w:szCs w:val="18"/>
              </w:rPr>
            </w:pPr>
            <w:r w:rsidRPr="009B5B48">
              <w:rPr>
                <w:rFonts w:ascii="Century Gothic" w:hAnsi="Century Gothic" w:cs="Times New Roman"/>
                <w:color w:val="000000"/>
                <w:sz w:val="18"/>
                <w:szCs w:val="18"/>
              </w:rPr>
              <w:t>możliwość późniejszego doposażenia o dodatkowe wzmacniacze 10-kanałowe do EMP/EP;</w:t>
            </w:r>
          </w:p>
          <w:p w14:paraId="4C756767" w14:textId="77777777" w:rsidR="009B5B48" w:rsidRPr="009B5B48" w:rsidRDefault="009B5B48" w:rsidP="009B5B48">
            <w:pPr>
              <w:numPr>
                <w:ilvl w:val="0"/>
                <w:numId w:val="26"/>
              </w:numPr>
              <w:tabs>
                <w:tab w:val="clear" w:pos="502"/>
              </w:tabs>
              <w:spacing w:after="0"/>
              <w:ind w:left="720"/>
              <w:rPr>
                <w:rFonts w:ascii="Century Gothic" w:hAnsi="Century Gothic" w:cs="Times New Roman"/>
                <w:color w:val="000000"/>
                <w:sz w:val="18"/>
                <w:szCs w:val="18"/>
              </w:rPr>
            </w:pPr>
            <w:r w:rsidRPr="009B5B48">
              <w:rPr>
                <w:rFonts w:ascii="Century Gothic" w:hAnsi="Century Gothic" w:cs="Times New Roman"/>
                <w:color w:val="000000"/>
                <w:sz w:val="18"/>
                <w:szCs w:val="18"/>
              </w:rPr>
              <w:lastRenderedPageBreak/>
              <w:t>wzmacniacze o budowie jednomodułowej wyposażone w:</w:t>
            </w:r>
          </w:p>
          <w:p w14:paraId="4F0CA9FE" w14:textId="77777777" w:rsidR="009B5B48" w:rsidRPr="009B5B48" w:rsidRDefault="009B5B48" w:rsidP="009B5B48">
            <w:pPr>
              <w:numPr>
                <w:ilvl w:val="0"/>
                <w:numId w:val="27"/>
              </w:num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min. 4 zespoły gniazd </w:t>
            </w:r>
          </w:p>
          <w:p w14:paraId="33E24B5E" w14:textId="77777777" w:rsidR="009B5B48" w:rsidRPr="009B5B48" w:rsidRDefault="009B5B48" w:rsidP="009B5B48">
            <w:pPr>
              <w:numPr>
                <w:ilvl w:val="0"/>
                <w:numId w:val="27"/>
              </w:numPr>
              <w:spacing w:after="0"/>
              <w:rPr>
                <w:rFonts w:ascii="Century Gothic" w:hAnsi="Century Gothic" w:cs="Times New Roman"/>
                <w:color w:val="000000"/>
                <w:sz w:val="18"/>
                <w:szCs w:val="18"/>
              </w:rPr>
            </w:pPr>
            <w:r>
              <w:rPr>
                <w:rFonts w:ascii="Century Gothic" w:hAnsi="Century Gothic" w:cs="Times New Roman"/>
                <w:color w:val="000000"/>
                <w:sz w:val="18"/>
                <w:szCs w:val="18"/>
              </w:rPr>
              <w:t>min. 2 gniazda</w:t>
            </w:r>
            <w:r w:rsidRPr="009B5B48">
              <w:rPr>
                <w:rFonts w:ascii="Century Gothic" w:hAnsi="Century Gothic" w:cs="Times New Roman"/>
                <w:color w:val="000000"/>
                <w:sz w:val="18"/>
                <w:szCs w:val="18"/>
              </w:rPr>
              <w:t xml:space="preserve"> dla elektrody uziemiającej</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B7223AD"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CF651C" w14:textId="77777777" w:rsidR="009B5B48" w:rsidRPr="00814F28" w:rsidRDefault="009B5B48"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366C508"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0147A193"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6B56D88"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937CA5B" w14:textId="77777777" w:rsidR="009B5B48" w:rsidRPr="009B5B48" w:rsidRDefault="009B5B48" w:rsidP="007E0E80">
            <w:pPr>
              <w:spacing w:after="0"/>
              <w:rPr>
                <w:rFonts w:ascii="Century Gothic" w:hAnsi="Century Gothic" w:cs="Times New Roman"/>
                <w:color w:val="000000"/>
                <w:sz w:val="18"/>
                <w:szCs w:val="18"/>
              </w:rPr>
            </w:pPr>
            <w:r>
              <w:rPr>
                <w:rFonts w:ascii="Century Gothic" w:hAnsi="Century Gothic" w:cs="Times New Roman"/>
                <w:color w:val="000000"/>
                <w:sz w:val="18"/>
                <w:szCs w:val="18"/>
              </w:rPr>
              <w:t>Wzmacniacz - i</w:t>
            </w:r>
            <w:r w:rsidRPr="009B5B48">
              <w:rPr>
                <w:rFonts w:ascii="Century Gothic" w:hAnsi="Century Gothic" w:cs="Times New Roman"/>
                <w:color w:val="000000"/>
                <w:sz w:val="18"/>
                <w:szCs w:val="18"/>
              </w:rPr>
              <w:t xml:space="preserve">mpedancja wejściowa  </w:t>
            </w:r>
            <w:r>
              <w:rPr>
                <w:rFonts w:ascii="Century Gothic" w:hAnsi="Century Gothic" w:cs="Times New Roman"/>
                <w:color w:val="000000"/>
                <w:sz w:val="18"/>
                <w:szCs w:val="18"/>
              </w:rPr>
              <w:t>min.</w:t>
            </w:r>
            <w:r w:rsidRPr="009B5B48">
              <w:rPr>
                <w:rFonts w:ascii="Century Gothic" w:hAnsi="Century Gothic" w:cs="Times New Roman"/>
                <w:color w:val="000000"/>
                <w:sz w:val="18"/>
                <w:szCs w:val="18"/>
              </w:rPr>
              <w:t xml:space="preserve"> 100 M</w:t>
            </w:r>
            <w:r w:rsidRPr="009B5B48">
              <w:rPr>
                <w:rFonts w:ascii="Century Gothic" w:hAnsi="Century Gothic" w:cs="Times New Roman"/>
                <w:color w:val="000000"/>
                <w:sz w:val="18"/>
                <w:szCs w:val="18"/>
              </w:rPr>
              <w:sym w:font="Symbol" w:char="F057"/>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C5AD7A0"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40F1BC5"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2A93E25" w14:textId="77777777" w:rsidR="009B5B48" w:rsidRDefault="009B5B48" w:rsidP="007E0E80">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01C1C24C" w14:textId="77777777" w:rsidR="009B5B48" w:rsidRPr="00814F28" w:rsidRDefault="009B5B48" w:rsidP="007E0E80">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9B5B48" w:rsidRPr="00814F28" w14:paraId="479D3AD0"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40E2E37"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F0FCC18" w14:textId="77777777" w:rsidR="009B5B48" w:rsidRPr="009B5B48" w:rsidRDefault="009B5B48" w:rsidP="007E0E80">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Wzmacniacz - </w:t>
            </w:r>
            <w:r w:rsidRPr="009B5B48">
              <w:rPr>
                <w:rFonts w:ascii="Century Gothic" w:hAnsi="Century Gothic" w:cs="Times New Roman"/>
                <w:color w:val="000000"/>
                <w:sz w:val="18"/>
                <w:szCs w:val="18"/>
              </w:rPr>
              <w:t xml:space="preserve">CMRR </w:t>
            </w:r>
            <w:r>
              <w:rPr>
                <w:rFonts w:ascii="Century Gothic" w:hAnsi="Century Gothic" w:cs="Times New Roman"/>
                <w:color w:val="000000"/>
                <w:sz w:val="18"/>
                <w:szCs w:val="18"/>
              </w:rPr>
              <w:t>min.</w:t>
            </w:r>
            <w:r w:rsidRPr="009B5B48">
              <w:rPr>
                <w:rFonts w:ascii="Century Gothic" w:hAnsi="Century Gothic" w:cs="Times New Roman"/>
                <w:color w:val="000000"/>
                <w:sz w:val="18"/>
                <w:szCs w:val="18"/>
              </w:rPr>
              <w:t xml:space="preserve"> 100 dB</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C156C6E"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ED8088"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E68A4FD" w14:textId="77777777" w:rsidR="009B5B48" w:rsidRDefault="009B5B48" w:rsidP="007E0E80">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6F8E77F7" w14:textId="77777777" w:rsidR="009B5B48" w:rsidRPr="00814F28" w:rsidRDefault="009B5B48" w:rsidP="007E0E80">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9B5B48" w:rsidRPr="00814F28" w14:paraId="483273C2"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5E60F9B"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5F1A98B"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P</w:t>
            </w:r>
            <w:r>
              <w:rPr>
                <w:rFonts w:ascii="Century Gothic" w:hAnsi="Century Gothic" w:cs="Times New Roman"/>
                <w:color w:val="000000"/>
                <w:sz w:val="18"/>
                <w:szCs w:val="18"/>
              </w:rPr>
              <w:t>rzetwornik ADC min. 16 – bitowy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301F343"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CDE5344" w14:textId="77777777" w:rsidR="009B5B48" w:rsidRPr="00814F28" w:rsidRDefault="009B5B48"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82D3057" w14:textId="77777777" w:rsidR="009B5B48" w:rsidRDefault="009B5B48" w:rsidP="009B5B48">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28A4753D" w14:textId="77777777" w:rsidR="009B5B48" w:rsidRPr="00814F28" w:rsidRDefault="009B5B48" w:rsidP="009B5B48">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9B5B48" w:rsidRPr="00814F28" w14:paraId="79588BBA"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28FC812"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FB3846"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Aparat wyposażony w stymulator wzrokowy, słuchowy i </w:t>
            </w:r>
            <w:r>
              <w:rPr>
                <w:rFonts w:ascii="Century Gothic" w:hAnsi="Century Gothic" w:cs="Times New Roman"/>
                <w:color w:val="000000"/>
                <w:sz w:val="18"/>
                <w:szCs w:val="18"/>
              </w:rPr>
              <w:t>elektryczny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AAB82F"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068CC7F" w14:textId="77777777" w:rsidR="009B5B48" w:rsidRPr="00814F28" w:rsidRDefault="009B5B48"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7A13DB"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0FD43DD5"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4F5503C"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213FCC4"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Stymulator elektryczny wbudowany w jednostkę centralną (moduł bazowy / panel med</w:t>
            </w:r>
            <w:r>
              <w:rPr>
                <w:rFonts w:ascii="Century Gothic" w:hAnsi="Century Gothic" w:cs="Times New Roman"/>
                <w:color w:val="000000"/>
                <w:sz w:val="18"/>
                <w:szCs w:val="18"/>
              </w:rPr>
              <w:t xml:space="preserve">yczny) wyposażony w gniazdo </w:t>
            </w:r>
            <w:r w:rsidRPr="009B5B48">
              <w:rPr>
                <w:rFonts w:ascii="Century Gothic" w:hAnsi="Century Gothic" w:cs="Times New Roman"/>
                <w:color w:val="000000"/>
                <w:sz w:val="18"/>
                <w:szCs w:val="18"/>
              </w:rPr>
              <w:t xml:space="preserve">do </w:t>
            </w:r>
            <w:r>
              <w:rPr>
                <w:rFonts w:ascii="Century Gothic" w:hAnsi="Century Gothic" w:cs="Times New Roman"/>
                <w:color w:val="000000"/>
                <w:sz w:val="18"/>
                <w:szCs w:val="18"/>
              </w:rPr>
              <w:t>podłączenia sondy stymulacyjnej</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3D4C56B"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4A66806" w14:textId="77777777" w:rsidR="009B5B48" w:rsidRPr="00814F28" w:rsidRDefault="009B5B48"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EF172F6"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006B5456"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C54CE99"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C86A297"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Sonda stymulatora elektrycznego: u</w:t>
            </w:r>
            <w:r>
              <w:rPr>
                <w:rFonts w:ascii="Century Gothic" w:hAnsi="Century Gothic" w:cs="Times New Roman"/>
                <w:color w:val="000000"/>
                <w:sz w:val="18"/>
                <w:szCs w:val="18"/>
              </w:rPr>
              <w:t xml:space="preserve">możliwiająca regulację bodźca i </w:t>
            </w:r>
            <w:r w:rsidRPr="009B5B48">
              <w:rPr>
                <w:rFonts w:ascii="Century Gothic" w:hAnsi="Century Gothic" w:cs="Times New Roman"/>
                <w:color w:val="000000"/>
                <w:sz w:val="18"/>
                <w:szCs w:val="18"/>
              </w:rPr>
              <w:t>posiadająca przycisk wyzwalający bodziec</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1860FC"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64D6D21" w14:textId="77777777" w:rsidR="009B5B48" w:rsidRPr="00814F28" w:rsidRDefault="009B5B48"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3604CB3"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3CD469C2"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08F0A89" w14:textId="77777777" w:rsidR="009B5B48" w:rsidRPr="009B5B48" w:rsidRDefault="009B5B48" w:rsidP="009B5B48">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93F273"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Stymulator elektryczny o następujących parametrach minimalnych:</w:t>
            </w:r>
          </w:p>
          <w:p w14:paraId="18C91277"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sidRPr="009B5B48">
              <w:rPr>
                <w:rFonts w:ascii="Century Gothic" w:hAnsi="Century Gothic" w:cs="Times New Roman"/>
                <w:color w:val="000000"/>
                <w:sz w:val="18"/>
                <w:szCs w:val="18"/>
              </w:rPr>
              <w:t>Ilość kanałów – min. 1;</w:t>
            </w:r>
          </w:p>
          <w:p w14:paraId="74D611A8"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sidRPr="009B5B48">
              <w:rPr>
                <w:rFonts w:ascii="Century Gothic" w:hAnsi="Century Gothic" w:cs="Times New Roman"/>
                <w:color w:val="000000"/>
                <w:sz w:val="18"/>
                <w:szCs w:val="18"/>
              </w:rPr>
              <w:t>Zakres min.: 0-100 mA / 0-400 V;</w:t>
            </w:r>
          </w:p>
          <w:p w14:paraId="53703D3C"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sidRPr="009B5B48">
              <w:rPr>
                <w:rFonts w:ascii="Century Gothic" w:hAnsi="Century Gothic" w:cs="Times New Roman"/>
                <w:color w:val="000000"/>
                <w:sz w:val="18"/>
                <w:szCs w:val="18"/>
              </w:rPr>
              <w:t>Częstotliwość bodźców prądowych w zakresie min. od 0,1 do 200 Hz z płynną regulacją częstości;</w:t>
            </w:r>
          </w:p>
          <w:p w14:paraId="13EA1385" w14:textId="77777777" w:rsidR="009B5B48" w:rsidRPr="009B5B48" w:rsidRDefault="009B5B48" w:rsidP="009B5B48">
            <w:pPr>
              <w:numPr>
                <w:ilvl w:val="0"/>
                <w:numId w:val="26"/>
              </w:numPr>
              <w:spacing w:after="0"/>
              <w:ind w:left="0" w:firstLine="0"/>
              <w:rPr>
                <w:rFonts w:ascii="Century Gothic" w:hAnsi="Century Gothic" w:cs="Times New Roman"/>
                <w:color w:val="000000"/>
                <w:sz w:val="18"/>
                <w:szCs w:val="18"/>
              </w:rPr>
            </w:pPr>
            <w:r w:rsidRPr="009B5B48">
              <w:rPr>
                <w:rFonts w:ascii="Century Gothic" w:hAnsi="Century Gothic" w:cs="Times New Roman"/>
                <w:color w:val="000000"/>
                <w:sz w:val="18"/>
                <w:szCs w:val="18"/>
              </w:rPr>
              <w:t>Tryby stymulacji: pojedyncza (single), powtarzana (repetitive), ciągami impulsów (train)</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5FB9E4D"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0F4A04C" w14:textId="77777777" w:rsidR="009B5B48" w:rsidRPr="00814F28" w:rsidRDefault="009B5B48"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3B689E1" w14:textId="77777777" w:rsidR="009B5B48" w:rsidRPr="00814F28" w:rsidRDefault="009B5B48"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0769BBEA"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BEA1C68"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F508EF6"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Stymulator wzrokowy o następujących parametrach minimalnych:</w:t>
            </w:r>
          </w:p>
          <w:p w14:paraId="70892A49"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sidRPr="009B5B48">
              <w:rPr>
                <w:rFonts w:ascii="Century Gothic" w:hAnsi="Century Gothic" w:cs="Times New Roman"/>
                <w:color w:val="000000"/>
                <w:sz w:val="18"/>
                <w:szCs w:val="18"/>
              </w:rPr>
              <w:t>Typ bodźca stymulacyjnego: szachownice, pasy poziome, pasy pionowe, typu flash (ON/OFF);</w:t>
            </w:r>
          </w:p>
          <w:p w14:paraId="59283831"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sidRPr="009B5B48">
              <w:rPr>
                <w:rFonts w:ascii="Century Gothic" w:hAnsi="Century Gothic" w:cs="Times New Roman"/>
                <w:color w:val="000000"/>
                <w:sz w:val="18"/>
                <w:szCs w:val="18"/>
              </w:rPr>
              <w:lastRenderedPageBreak/>
              <w:t>Pola stymulacyjne: pełne, połówki (lewa/prawa), ćwiartki  lub pole centralne ekranu;</w:t>
            </w:r>
          </w:p>
          <w:p w14:paraId="77008B6F"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sidRPr="009B5B48">
              <w:rPr>
                <w:rFonts w:ascii="Century Gothic" w:hAnsi="Century Gothic" w:cs="Times New Roman"/>
                <w:color w:val="000000"/>
                <w:sz w:val="18"/>
                <w:szCs w:val="18"/>
              </w:rPr>
              <w:t>Liczba pól:  min. od 3x4  do 96x128</w:t>
            </w:r>
          </w:p>
          <w:p w14:paraId="6AF22725"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sidRPr="009B5B48">
              <w:rPr>
                <w:rFonts w:ascii="Century Gothic" w:hAnsi="Century Gothic" w:cs="Times New Roman"/>
                <w:color w:val="000000"/>
                <w:sz w:val="18"/>
                <w:szCs w:val="18"/>
              </w:rPr>
              <w:t>Częstotliwość bodźca odwracalnego:  zakres od 1 bodźca na 10 sek. do 30 bodźców na 1 sek.</w:t>
            </w:r>
          </w:p>
          <w:p w14:paraId="66D4A02A" w14:textId="77777777" w:rsidR="009B5B48" w:rsidRPr="009B5B48" w:rsidRDefault="009B5B48" w:rsidP="009B5B48">
            <w:pPr>
              <w:numPr>
                <w:ilvl w:val="0"/>
                <w:numId w:val="26"/>
              </w:numPr>
              <w:spacing w:after="0"/>
              <w:ind w:left="0" w:firstLine="0"/>
              <w:rPr>
                <w:rFonts w:ascii="Century Gothic" w:hAnsi="Century Gothic" w:cs="Times New Roman"/>
                <w:color w:val="000000"/>
                <w:sz w:val="18"/>
                <w:szCs w:val="18"/>
              </w:rPr>
            </w:pPr>
            <w:r w:rsidRPr="009B5B48">
              <w:rPr>
                <w:rFonts w:ascii="Century Gothic" w:hAnsi="Century Gothic" w:cs="Times New Roman"/>
                <w:color w:val="000000"/>
                <w:sz w:val="18"/>
                <w:szCs w:val="18"/>
              </w:rPr>
              <w:t>Monitor CRT albo wyświetlacz LCD do stymulacji wzrokowej o przekątnej min. 17”;</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611507D"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1498E18" w14:textId="77777777" w:rsidR="009B5B48" w:rsidRPr="009B5B4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DDD21E2"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44704036"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E5AA731"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6CD02ED"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Stymulator akustyczny wbudowany w jednostkę centralną (moduł bazowy / panel medyczny) o następujących parametrach minimalnych:</w:t>
            </w:r>
          </w:p>
          <w:p w14:paraId="31F62F51"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Pr>
                <w:rFonts w:ascii="Century Gothic" w:hAnsi="Century Gothic" w:cs="Times New Roman"/>
                <w:color w:val="000000"/>
                <w:sz w:val="18"/>
                <w:szCs w:val="18"/>
              </w:rPr>
              <w:t>Rodzaj bodźca: trzask</w:t>
            </w:r>
            <w:r w:rsidRPr="009B5B48">
              <w:rPr>
                <w:rFonts w:ascii="Century Gothic" w:hAnsi="Century Gothic" w:cs="Times New Roman"/>
                <w:color w:val="000000"/>
                <w:sz w:val="18"/>
                <w:szCs w:val="18"/>
              </w:rPr>
              <w:t xml:space="preserve">, </w:t>
            </w:r>
            <w:r>
              <w:rPr>
                <w:rFonts w:ascii="Century Gothic" w:hAnsi="Century Gothic" w:cs="Times New Roman"/>
                <w:color w:val="000000"/>
                <w:sz w:val="18"/>
                <w:szCs w:val="18"/>
              </w:rPr>
              <w:t>krótki impuls tonalny</w:t>
            </w:r>
            <w:r w:rsidRPr="009B5B48">
              <w:rPr>
                <w:rFonts w:ascii="Century Gothic" w:hAnsi="Century Gothic" w:cs="Times New Roman"/>
                <w:color w:val="000000"/>
                <w:sz w:val="18"/>
                <w:szCs w:val="18"/>
              </w:rPr>
              <w:t>, d</w:t>
            </w:r>
            <w:r>
              <w:rPr>
                <w:rFonts w:ascii="Century Gothic" w:hAnsi="Century Gothic" w:cs="Times New Roman"/>
                <w:color w:val="000000"/>
                <w:sz w:val="18"/>
                <w:szCs w:val="18"/>
              </w:rPr>
              <w:t>ługi impuls tonalny</w:t>
            </w:r>
            <w:r w:rsidRPr="009B5B48">
              <w:rPr>
                <w:rFonts w:ascii="Century Gothic" w:hAnsi="Century Gothic" w:cs="Times New Roman"/>
                <w:color w:val="000000"/>
                <w:sz w:val="18"/>
                <w:szCs w:val="18"/>
              </w:rPr>
              <w:t>;</w:t>
            </w:r>
          </w:p>
          <w:p w14:paraId="4C81FB96"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sidRPr="009B5B48">
              <w:rPr>
                <w:rFonts w:ascii="Century Gothic" w:hAnsi="Century Gothic" w:cs="Times New Roman"/>
                <w:color w:val="000000"/>
                <w:sz w:val="18"/>
                <w:szCs w:val="18"/>
              </w:rPr>
              <w:t>Natężenie bodźca</w:t>
            </w:r>
            <w:r>
              <w:rPr>
                <w:rFonts w:ascii="Century Gothic" w:hAnsi="Century Gothic" w:cs="Times New Roman"/>
                <w:color w:val="000000"/>
                <w:sz w:val="18"/>
                <w:szCs w:val="18"/>
              </w:rPr>
              <w:t xml:space="preserve"> min.</w:t>
            </w:r>
            <w:r w:rsidRPr="009B5B48">
              <w:rPr>
                <w:rFonts w:ascii="Century Gothic" w:hAnsi="Century Gothic" w:cs="Times New Roman"/>
                <w:color w:val="000000"/>
                <w:sz w:val="18"/>
                <w:szCs w:val="18"/>
              </w:rPr>
              <w:t>: od 0 dB do 130 dB pSPL ;</w:t>
            </w:r>
          </w:p>
          <w:p w14:paraId="319D7612" w14:textId="77777777" w:rsidR="009B5B48" w:rsidRPr="009B5B48" w:rsidRDefault="009B5B48" w:rsidP="009B5B48">
            <w:pPr>
              <w:numPr>
                <w:ilvl w:val="0"/>
                <w:numId w:val="26"/>
              </w:numPr>
              <w:tabs>
                <w:tab w:val="clear" w:pos="502"/>
              </w:tabs>
              <w:spacing w:after="0"/>
              <w:ind w:left="256" w:hanging="256"/>
              <w:rPr>
                <w:rFonts w:ascii="Century Gothic" w:hAnsi="Century Gothic" w:cs="Times New Roman"/>
                <w:color w:val="000000"/>
                <w:sz w:val="18"/>
                <w:szCs w:val="18"/>
              </w:rPr>
            </w:pPr>
            <w:r w:rsidRPr="009B5B48">
              <w:rPr>
                <w:rFonts w:ascii="Century Gothic" w:hAnsi="Century Gothic" w:cs="Times New Roman"/>
                <w:color w:val="000000"/>
                <w:sz w:val="18"/>
                <w:szCs w:val="18"/>
              </w:rPr>
              <w:t>Częstotliwości bodźca tonalnego</w:t>
            </w:r>
            <w:r>
              <w:rPr>
                <w:rFonts w:ascii="Century Gothic" w:hAnsi="Century Gothic" w:cs="Times New Roman"/>
                <w:color w:val="000000"/>
                <w:sz w:val="18"/>
                <w:szCs w:val="18"/>
              </w:rPr>
              <w:t xml:space="preserve"> min.</w:t>
            </w:r>
            <w:r w:rsidRPr="009B5B48">
              <w:rPr>
                <w:rFonts w:ascii="Century Gothic" w:hAnsi="Century Gothic" w:cs="Times New Roman"/>
                <w:color w:val="000000"/>
                <w:sz w:val="18"/>
                <w:szCs w:val="18"/>
              </w:rPr>
              <w:t>: 250 Hz, 500 Hz, 750 Hz,1 kHz,1.5 kHz, 2 kHz, 3 kHz, 4 kHz, 6 kHz, 8 kHz;</w:t>
            </w:r>
          </w:p>
          <w:p w14:paraId="00C75C72" w14:textId="77777777" w:rsidR="009B5B48" w:rsidRPr="009B5B48" w:rsidRDefault="009B5B48" w:rsidP="009C2BD4">
            <w:pPr>
              <w:numPr>
                <w:ilvl w:val="0"/>
                <w:numId w:val="26"/>
              </w:numPr>
              <w:spacing w:after="0"/>
              <w:ind w:left="0" w:firstLine="0"/>
              <w:rPr>
                <w:rFonts w:ascii="Century Gothic" w:hAnsi="Century Gothic" w:cs="Times New Roman"/>
                <w:color w:val="000000"/>
                <w:sz w:val="18"/>
                <w:szCs w:val="18"/>
              </w:rPr>
            </w:pPr>
            <w:r w:rsidRPr="009B5B48">
              <w:rPr>
                <w:rFonts w:ascii="Century Gothic" w:hAnsi="Century Gothic" w:cs="Times New Roman"/>
                <w:color w:val="000000"/>
                <w:sz w:val="18"/>
                <w:szCs w:val="18"/>
              </w:rPr>
              <w:t>Przetworniki w zest</w:t>
            </w:r>
            <w:r w:rsidR="009C2BD4">
              <w:rPr>
                <w:rFonts w:ascii="Century Gothic" w:hAnsi="Century Gothic" w:cs="Times New Roman"/>
                <w:color w:val="000000"/>
                <w:sz w:val="18"/>
                <w:szCs w:val="18"/>
              </w:rPr>
              <w:t xml:space="preserve">awie: słuchawki nauszne </w:t>
            </w:r>
            <w:r w:rsidRPr="009B5B48">
              <w:rPr>
                <w:rFonts w:ascii="Century Gothic" w:hAnsi="Century Gothic" w:cs="Times New Roman"/>
                <w:color w:val="000000"/>
                <w:sz w:val="18"/>
                <w:szCs w:val="18"/>
              </w:rPr>
              <w:t>; możliwość podłączenia słuchawek wewnątrzusznych i wibratora kostnego;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B3234F6"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26C05F"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AEDD64"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702F078F"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15C2D43"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8412E6A"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Obecność zewnętrznych wej</w:t>
            </w:r>
            <w:r>
              <w:rPr>
                <w:rFonts w:ascii="Century Gothic" w:hAnsi="Century Gothic" w:cs="Times New Roman"/>
                <w:color w:val="000000"/>
                <w:sz w:val="18"/>
                <w:szCs w:val="18"/>
              </w:rPr>
              <w:t>ść/wyjść wyzwalających typu TTL</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9E98DD"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5B0F89"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26FA58D"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486DE975"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741E405"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5D58363"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Oprogramowanie medyczne:</w:t>
            </w:r>
          </w:p>
          <w:p w14:paraId="3B1E3233"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NCS - elektroneurografia / badanie szybkości przewodzenia wraz z wbudowanym atlasem anatomicznym (z możliwością wprowadzania własnych obrazów anatomicznych) oraz z możliwością wprowadzania norm przewodnictwa;</w:t>
            </w:r>
          </w:p>
          <w:p w14:paraId="1078A213" w14:textId="77777777" w:rsidR="009B5B48" w:rsidRPr="009B5B48" w:rsidRDefault="009B5B48" w:rsidP="009B5B48">
            <w:pPr>
              <w:numPr>
                <w:ilvl w:val="0"/>
                <w:numId w:val="28"/>
              </w:numPr>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Wielopunktowe przewodnictwo mieszane (rejestracja przewodnictwa ruchowego i czuciowego wykonana w tym samym czasie na jednym programie i prezentacja na jednym ekranie);</w:t>
            </w:r>
          </w:p>
          <w:p w14:paraId="7EEE7AAE" w14:textId="77777777" w:rsidR="009B5B48" w:rsidRPr="009B5B48" w:rsidRDefault="009B5B48" w:rsidP="009B5B48">
            <w:pPr>
              <w:numPr>
                <w:ilvl w:val="0"/>
                <w:numId w:val="28"/>
              </w:numPr>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Możliwość porównania na jednym ekranie wyników z lewej/prawej strony oraz z kolejnych wizyt;</w:t>
            </w:r>
          </w:p>
          <w:p w14:paraId="1DE565DD" w14:textId="77777777" w:rsidR="009B5B48" w:rsidRPr="009B5B48" w:rsidRDefault="009B5B48" w:rsidP="009B5B48">
            <w:pPr>
              <w:numPr>
                <w:ilvl w:val="0"/>
                <w:numId w:val="28"/>
              </w:numPr>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Przewodnictwo segmentalne;</w:t>
            </w:r>
          </w:p>
          <w:p w14:paraId="0481A47C"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Próba męczliwości z możliwością ustawienia sekwencji automatycznie wyzwalanych, w zadanych odstępach czasu, ciągów impulsów stymulujących dla kolejnych prób;</w:t>
            </w:r>
          </w:p>
          <w:p w14:paraId="7C8FCA50"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Odruch mrugania (Blink Reflex) wywoływany elektrycznie i mechanicznie;</w:t>
            </w:r>
          </w:p>
          <w:p w14:paraId="335151C7"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EMG podstawowe 1-kanałowe, w tym: </w:t>
            </w:r>
          </w:p>
          <w:p w14:paraId="51BB1CBA" w14:textId="77777777" w:rsidR="009B5B48" w:rsidRPr="009B5B48" w:rsidRDefault="009B5B48" w:rsidP="009B5B48">
            <w:pPr>
              <w:numPr>
                <w:ilvl w:val="0"/>
                <w:numId w:val="29"/>
              </w:numPr>
              <w:tabs>
                <w:tab w:val="clear" w:pos="720"/>
              </w:tabs>
              <w:spacing w:after="0"/>
              <w:ind w:left="594" w:hanging="234"/>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Rejestracja czynności spontanicznej; możliwość zapisu na dysk min. 5 </w:t>
            </w:r>
            <w:r w:rsidRPr="009B5B48">
              <w:rPr>
                <w:rFonts w:ascii="Century Gothic" w:hAnsi="Century Gothic" w:cs="Times New Roman"/>
                <w:color w:val="000000"/>
                <w:sz w:val="18"/>
                <w:szCs w:val="18"/>
              </w:rPr>
              <w:lastRenderedPageBreak/>
              <w:t>minut przebiegów;</w:t>
            </w:r>
          </w:p>
          <w:p w14:paraId="1249F8D2" w14:textId="77777777" w:rsidR="009B5B48" w:rsidRPr="009B5B48" w:rsidRDefault="009B5B48" w:rsidP="009B5B48">
            <w:pPr>
              <w:numPr>
                <w:ilvl w:val="0"/>
                <w:numId w:val="29"/>
              </w:numPr>
              <w:tabs>
                <w:tab w:val="clear" w:pos="720"/>
              </w:tabs>
              <w:spacing w:after="0"/>
              <w:ind w:left="594" w:hanging="234"/>
              <w:rPr>
                <w:rFonts w:ascii="Century Gothic" w:hAnsi="Century Gothic" w:cs="Times New Roman"/>
                <w:color w:val="000000"/>
                <w:sz w:val="18"/>
                <w:szCs w:val="18"/>
              </w:rPr>
            </w:pPr>
            <w:r w:rsidRPr="009B5B48">
              <w:rPr>
                <w:rFonts w:ascii="Century Gothic" w:hAnsi="Century Gothic" w:cs="Times New Roman"/>
                <w:color w:val="000000"/>
                <w:sz w:val="18"/>
                <w:szCs w:val="18"/>
              </w:rPr>
              <w:t>Próba wysiłkowa (pomiary: max amplitudy, RMS – średnia ważona amplitudy, MRV – odwrócona średnia ważona amplitudy, TURNS/sek – ilość zmian zwrotów krzywej EMG); możliwość zapisu na dysk min. 5 minut przebiegów;</w:t>
            </w:r>
          </w:p>
          <w:p w14:paraId="3ADB3D52"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EMG zaawansowane 1-kanałowe, obejmujące rejestrację czynności spontanicznej o zadanych warunkach (triggered) z możliwością uśredniania i analizy off-line oraz automatyczną analizę ilościową EMG; możliwość zapisu na dysk min. 5 minut przebiegów;</w:t>
            </w:r>
          </w:p>
          <w:p w14:paraId="07CC5300"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EMG zaawansowane 1, 2, 3, 4- kanałowe, w tym: </w:t>
            </w:r>
          </w:p>
          <w:p w14:paraId="4498E32B" w14:textId="77777777" w:rsidR="009B5B48" w:rsidRPr="009B5B48" w:rsidRDefault="009B5B48" w:rsidP="009B5B48">
            <w:pPr>
              <w:numPr>
                <w:ilvl w:val="0"/>
                <w:numId w:val="29"/>
              </w:numPr>
              <w:tabs>
                <w:tab w:val="clear" w:pos="720"/>
              </w:tabs>
              <w:spacing w:after="0"/>
              <w:ind w:left="594" w:hanging="234"/>
              <w:rPr>
                <w:rFonts w:ascii="Century Gothic" w:hAnsi="Century Gothic" w:cs="Times New Roman"/>
                <w:color w:val="000000"/>
                <w:sz w:val="18"/>
                <w:szCs w:val="18"/>
              </w:rPr>
            </w:pPr>
            <w:r w:rsidRPr="009B5B48">
              <w:rPr>
                <w:rFonts w:ascii="Century Gothic" w:hAnsi="Century Gothic" w:cs="Times New Roman"/>
                <w:color w:val="000000"/>
                <w:sz w:val="18"/>
                <w:szCs w:val="18"/>
              </w:rPr>
              <w:t>Rejestracja czynności spontanicznej; możliwość zapisu na dysk min. 5 minut przebiegów;</w:t>
            </w:r>
          </w:p>
          <w:p w14:paraId="384FBCFE" w14:textId="77777777" w:rsidR="009B5B48" w:rsidRPr="009B5B48" w:rsidRDefault="009B5B48" w:rsidP="009B5B48">
            <w:pPr>
              <w:numPr>
                <w:ilvl w:val="0"/>
                <w:numId w:val="29"/>
              </w:numPr>
              <w:tabs>
                <w:tab w:val="clear" w:pos="720"/>
              </w:tabs>
              <w:spacing w:after="0"/>
              <w:ind w:left="594" w:hanging="234"/>
              <w:rPr>
                <w:rFonts w:ascii="Century Gothic" w:hAnsi="Century Gothic" w:cs="Times New Roman"/>
                <w:color w:val="000000"/>
                <w:sz w:val="18"/>
                <w:szCs w:val="18"/>
              </w:rPr>
            </w:pPr>
            <w:r w:rsidRPr="009B5B48">
              <w:rPr>
                <w:rFonts w:ascii="Century Gothic" w:hAnsi="Century Gothic" w:cs="Times New Roman"/>
                <w:color w:val="000000"/>
                <w:sz w:val="18"/>
                <w:szCs w:val="18"/>
              </w:rPr>
              <w:t>próba wysiłkowa (pomiary: max amplitudy, RMS – średnia ważona amplitudy, MRV – odwrócona średnia ważona amplitudy, TURNS/sek – ilość zmian zwrotów EMG); możliwość zapisu na dysk min. 5 minut przebiegów;</w:t>
            </w:r>
          </w:p>
          <w:p w14:paraId="661223FA"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VEP – potencjały wzrokowe;</w:t>
            </w:r>
          </w:p>
          <w:p w14:paraId="60FB2781"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AEP – potencjały słuchowe;</w:t>
            </w:r>
          </w:p>
          <w:p w14:paraId="1E27591B"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Współczulna odpowiedź skórna (SSR);</w:t>
            </w:r>
          </w:p>
          <w:p w14:paraId="66922118"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badanie zmienności  rytmu serca (HRV) z wbudowaną funkcją metronomu;</w:t>
            </w:r>
          </w:p>
          <w:p w14:paraId="0F0C9014" w14:textId="77777777" w:rsidR="009B5B48" w:rsidRPr="009B5B48" w:rsidRDefault="009B5B48" w:rsidP="009B5B48">
            <w:pPr>
              <w:numPr>
                <w:ilvl w:val="0"/>
                <w:numId w:val="26"/>
              </w:numPr>
              <w:tabs>
                <w:tab w:val="clear" w:pos="502"/>
              </w:tabs>
              <w:spacing w:after="0"/>
              <w:ind w:left="310" w:hanging="218"/>
              <w:rPr>
                <w:rFonts w:ascii="Century Gothic" w:hAnsi="Century Gothic" w:cs="Times New Roman"/>
                <w:color w:val="000000"/>
                <w:sz w:val="18"/>
                <w:szCs w:val="18"/>
              </w:rPr>
            </w:pPr>
            <w:r w:rsidRPr="009B5B48">
              <w:rPr>
                <w:rFonts w:ascii="Century Gothic" w:hAnsi="Century Gothic" w:cs="Times New Roman"/>
                <w:color w:val="000000"/>
                <w:sz w:val="18"/>
                <w:szCs w:val="18"/>
              </w:rPr>
              <w:t>generator raportów z badań, bazujący na edytorze tekstu i umożliwiający tworzenie własnych wzorców;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001A7E"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053BB3"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6D01979"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0CA65B15"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BA217AE"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733072"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Oprogramowanie umożliwiające s</w:t>
            </w:r>
            <w:r>
              <w:rPr>
                <w:rFonts w:ascii="Century Gothic" w:hAnsi="Century Gothic" w:cs="Times New Roman"/>
                <w:color w:val="000000"/>
                <w:sz w:val="18"/>
                <w:szCs w:val="18"/>
              </w:rPr>
              <w:t>konfigurowanie protokołu badań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2167521"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2986C86"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C881BFB"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164DCA1B"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500E182"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D830DC"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Przewodnictwo sensoryczne, możliwości oprogramowania: </w:t>
            </w:r>
          </w:p>
          <w:p w14:paraId="19D752B3"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zastosowanie programowego algorytmu wyrównującego krzywą odpowiedzi do linii bazowej</w:t>
            </w:r>
          </w:p>
          <w:p w14:paraId="748C4A5B"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możliwość włączania i wyłączania uśredniania podczas akwizycji</w:t>
            </w:r>
          </w:p>
          <w:p w14:paraId="450D8124"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uśrednianie off-line (po przeprowadzeniu badania)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2201420"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3B0E57F"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460F2C3"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5E1BFE35"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14F282E"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C5334C"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Oprogramowanie diagnostyczne  EMG pojedynczego włókna (SF EMG); pakiet obejmujący:</w:t>
            </w:r>
          </w:p>
          <w:p w14:paraId="6C4DA221" w14:textId="77777777" w:rsidR="009B5B48" w:rsidRPr="009B5B48" w:rsidRDefault="009B5B48" w:rsidP="009B5B48">
            <w:pPr>
              <w:numPr>
                <w:ilvl w:val="0"/>
                <w:numId w:val="30"/>
              </w:numPr>
              <w:suppressAutoHyphens/>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SF-EMG wyzwalane zboc</w:t>
            </w:r>
            <w:r>
              <w:rPr>
                <w:rFonts w:ascii="Century Gothic" w:hAnsi="Century Gothic" w:cs="Times New Roman"/>
                <w:color w:val="000000"/>
                <w:sz w:val="18"/>
                <w:szCs w:val="18"/>
              </w:rPr>
              <w:t xml:space="preserve">zem narastającym lub opadającym </w:t>
            </w:r>
            <w:r w:rsidRPr="009B5B48">
              <w:rPr>
                <w:rFonts w:ascii="Century Gothic" w:hAnsi="Century Gothic" w:cs="Times New Roman"/>
                <w:color w:val="000000"/>
                <w:sz w:val="18"/>
                <w:szCs w:val="18"/>
              </w:rPr>
              <w:t>(możliwość wyboru);</w:t>
            </w:r>
          </w:p>
          <w:p w14:paraId="7951BCAD" w14:textId="77777777" w:rsidR="009B5B48" w:rsidRPr="009B5B48" w:rsidRDefault="009B5B48" w:rsidP="009B5B48">
            <w:pPr>
              <w:numPr>
                <w:ilvl w:val="0"/>
                <w:numId w:val="30"/>
              </w:numPr>
              <w:suppressAutoHyphens/>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lastRenderedPageBreak/>
              <w:t>stymulowane SF-EMG;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FC0403E"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D6D6D0E"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9FD8675"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111AEC7A"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2F430EF"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D06406E"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Oprogramowanie do zaawansowanej analizy potencjałów </w:t>
            </w:r>
            <w:r>
              <w:rPr>
                <w:rFonts w:ascii="Century Gothic" w:hAnsi="Century Gothic" w:cs="Times New Roman"/>
                <w:color w:val="000000"/>
                <w:sz w:val="18"/>
                <w:szCs w:val="18"/>
              </w:rPr>
              <w:t xml:space="preserve">jednostek </w:t>
            </w:r>
            <w:r w:rsidRPr="009B5B48">
              <w:rPr>
                <w:rFonts w:ascii="Century Gothic" w:hAnsi="Century Gothic" w:cs="Times New Roman"/>
                <w:color w:val="000000"/>
                <w:sz w:val="18"/>
                <w:szCs w:val="18"/>
              </w:rPr>
              <w:t>ruchowych umożliwiający automatyczną jednoczesną analizę ilościową do 12 jednostek ruchowych</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3E27C54"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2C8571D"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AC2E102" w14:textId="77777777" w:rsidR="009B5B48" w:rsidRDefault="009B5B48" w:rsidP="007E0E80">
            <w:pPr>
              <w:spacing w:after="0"/>
              <w:jc w:val="center"/>
              <w:rPr>
                <w:rFonts w:ascii="Century Gothic" w:hAnsi="Century Gothic" w:cs="Times New Roman"/>
                <w:sz w:val="18"/>
                <w:szCs w:val="18"/>
              </w:rPr>
            </w:pPr>
            <w:r>
              <w:rPr>
                <w:rFonts w:ascii="Century Gothic" w:hAnsi="Century Gothic" w:cs="Times New Roman"/>
                <w:sz w:val="18"/>
                <w:szCs w:val="18"/>
              </w:rPr>
              <w:t>TAK – 12 pkt.;</w:t>
            </w:r>
          </w:p>
          <w:p w14:paraId="713ECBBC" w14:textId="77777777" w:rsidR="009B5B48" w:rsidRPr="00814F28" w:rsidRDefault="009B5B48" w:rsidP="007E0E80">
            <w:pPr>
              <w:spacing w:after="0"/>
              <w:jc w:val="center"/>
              <w:rPr>
                <w:rFonts w:ascii="Century Gothic" w:hAnsi="Century Gothic" w:cs="Times New Roman"/>
                <w:sz w:val="18"/>
                <w:szCs w:val="18"/>
              </w:rPr>
            </w:pPr>
            <w:r>
              <w:rPr>
                <w:rFonts w:ascii="Century Gothic" w:hAnsi="Century Gothic" w:cs="Times New Roman"/>
                <w:sz w:val="18"/>
                <w:szCs w:val="18"/>
              </w:rPr>
              <w:t>NIE – 0pkt.</w:t>
            </w:r>
          </w:p>
        </w:tc>
      </w:tr>
      <w:tr w:rsidR="009B5B48" w:rsidRPr="00814F28" w14:paraId="3EA31397"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0EEBD7D"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1E854F3"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Oprogramowanie administracyjne (zarządzanie bazą danych pacjentów i zapisów)  z możliwością definiowania kryteriów wyszukiwania i możliwością archiwizacji na nośnikach zewnętrznych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0FE7BC"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23A0211"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66E403C"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5ED0129A"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13360E0"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B181CC1"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Oprogramowanie do tworzenia raportów on-line (raport tworzony jest na bieżąco (w tle) w trakcie badania, a nie po jego zakończeniu; w momencie zakończenia badania raport jest już gotowy bez konieczności jeg</w:t>
            </w:r>
            <w:r>
              <w:rPr>
                <w:rFonts w:ascii="Century Gothic" w:hAnsi="Century Gothic" w:cs="Times New Roman"/>
                <w:color w:val="000000"/>
                <w:sz w:val="18"/>
                <w:szCs w:val="18"/>
              </w:rPr>
              <w:t xml:space="preserve">o tworzenia czy przywoływania). </w:t>
            </w:r>
            <w:r w:rsidRPr="009B5B48">
              <w:rPr>
                <w:rFonts w:ascii="Century Gothic" w:hAnsi="Century Gothic" w:cs="Times New Roman"/>
                <w:color w:val="000000"/>
                <w:sz w:val="18"/>
                <w:szCs w:val="18"/>
              </w:rPr>
              <w:t>Na każdym etapie badania możliwy podgląd gotowego raportu z aktualnymi/bieżącymi wynikami.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7141ED5"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EFC200"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DF22DB3"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2651E563"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F669155"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E25F97"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Aparat </w:t>
            </w:r>
            <w:r>
              <w:rPr>
                <w:rFonts w:ascii="Century Gothic" w:hAnsi="Century Gothic" w:cs="Times New Roman"/>
                <w:color w:val="000000"/>
                <w:sz w:val="18"/>
                <w:szCs w:val="18"/>
              </w:rPr>
              <w:t>na platformie jezdnej</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37A0B7C"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174F8B" w14:textId="77777777" w:rsidR="009B5B48" w:rsidRPr="009B5B4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5534383"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B5B48" w:rsidRPr="00814F28" w14:paraId="631FAEA5"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ED9D6EA" w14:textId="77777777" w:rsidR="009B5B48" w:rsidRPr="009B5B48" w:rsidRDefault="009B5B48" w:rsidP="007E0E80">
            <w:pPr>
              <w:pStyle w:val="Akapitzlist"/>
              <w:numPr>
                <w:ilvl w:val="0"/>
                <w:numId w:val="25"/>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616A193" w14:textId="77777777" w:rsidR="009B5B48" w:rsidRPr="009B5B48" w:rsidRDefault="009B5B48" w:rsidP="009B5B48">
            <w:pPr>
              <w:spacing w:after="0"/>
              <w:rPr>
                <w:rFonts w:ascii="Century Gothic" w:hAnsi="Century Gothic" w:cs="Times New Roman"/>
                <w:color w:val="000000"/>
                <w:sz w:val="18"/>
                <w:szCs w:val="18"/>
              </w:rPr>
            </w:pPr>
            <w:r w:rsidRPr="009B5B48">
              <w:rPr>
                <w:rFonts w:ascii="Century Gothic" w:hAnsi="Century Gothic" w:cs="Times New Roman"/>
                <w:color w:val="000000"/>
                <w:sz w:val="18"/>
                <w:szCs w:val="18"/>
              </w:rPr>
              <w:t>Wymagania elektrod/akcesoriów</w:t>
            </w:r>
            <w:r>
              <w:rPr>
                <w:rFonts w:ascii="Century Gothic" w:hAnsi="Century Gothic" w:cs="Times New Roman"/>
                <w:color w:val="000000"/>
                <w:sz w:val="18"/>
                <w:szCs w:val="18"/>
              </w:rPr>
              <w:t xml:space="preserve"> dla jednego urządzenia</w:t>
            </w:r>
            <w:r w:rsidRPr="009B5B48">
              <w:rPr>
                <w:rFonts w:ascii="Century Gothic" w:hAnsi="Century Gothic" w:cs="Times New Roman"/>
                <w:color w:val="000000"/>
                <w:sz w:val="18"/>
                <w:szCs w:val="18"/>
              </w:rPr>
              <w:t>:</w:t>
            </w:r>
          </w:p>
          <w:p w14:paraId="5D418B0C"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 xml:space="preserve">pasta przewodząca  ( 3 op.) </w:t>
            </w:r>
          </w:p>
          <w:p w14:paraId="368034EF"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pasta ścierna  (3 szt.);</w:t>
            </w:r>
          </w:p>
          <w:p w14:paraId="6F7B8C0A"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żel elektrolitowy (3 szt.);</w:t>
            </w:r>
          </w:p>
          <w:p w14:paraId="71B845F4"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elektroda uziemiająca paskowa wielokrotnego użytku (1 szt.);</w:t>
            </w:r>
          </w:p>
          <w:p w14:paraId="45609841"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elektroda uziemiająca płytkowa wielokrotnego użytku (1 szt.);</w:t>
            </w:r>
          </w:p>
          <w:p w14:paraId="25BDBDC5"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elektrody obrączkowe wielokr. użytku (1 kpl);</w:t>
            </w:r>
          </w:p>
          <w:p w14:paraId="7B260555"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elektroda bipolarna do stym.wielokr. użytku;</w:t>
            </w:r>
          </w:p>
          <w:p w14:paraId="7CA774C1"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elektroda bipolarna odbiorcza wielokr. użytku;</w:t>
            </w:r>
          </w:p>
          <w:p w14:paraId="3F36F917"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elektrody miseczkowe Ag/AgCl o średnicy 10 mm do wielokrotnego użytku (10 szt.);</w:t>
            </w:r>
          </w:p>
          <w:p w14:paraId="3AFEAD44"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kable do igieł koncentrycznych (2 szt.);</w:t>
            </w:r>
          </w:p>
          <w:p w14:paraId="5749CF3C"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50 igieł koncentr. (jednorazowe) w wybranym rozmiarze</w:t>
            </w:r>
          </w:p>
          <w:p w14:paraId="45A02037"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kable z krokodylkiem (3 szt.)</w:t>
            </w:r>
          </w:p>
          <w:p w14:paraId="2B00BBA4" w14:textId="77777777" w:rsidR="009B5B48" w:rsidRPr="009B5B48" w:rsidRDefault="009B5B48" w:rsidP="009B5B48">
            <w:pPr>
              <w:numPr>
                <w:ilvl w:val="1"/>
                <w:numId w:val="31"/>
              </w:numPr>
              <w:tabs>
                <w:tab w:val="clear" w:pos="1440"/>
              </w:tabs>
              <w:spacing w:after="0"/>
              <w:ind w:left="256" w:hanging="256"/>
              <w:jc w:val="both"/>
              <w:rPr>
                <w:rFonts w:ascii="Century Gothic" w:hAnsi="Century Gothic" w:cs="Times New Roman"/>
                <w:color w:val="000000"/>
                <w:sz w:val="18"/>
                <w:szCs w:val="18"/>
              </w:rPr>
            </w:pPr>
            <w:r w:rsidRPr="009B5B48">
              <w:rPr>
                <w:rFonts w:ascii="Century Gothic" w:hAnsi="Century Gothic" w:cs="Times New Roman"/>
                <w:color w:val="000000"/>
                <w:sz w:val="18"/>
                <w:szCs w:val="18"/>
              </w:rPr>
              <w:t>elektrody odbiorcze jednorazowe 200 szt.</w:t>
            </w:r>
          </w:p>
          <w:p w14:paraId="562B5E5D" w14:textId="77777777" w:rsidR="009B5B48" w:rsidRPr="009B5B48" w:rsidRDefault="009B5B48" w:rsidP="009B5B48">
            <w:pPr>
              <w:numPr>
                <w:ilvl w:val="1"/>
                <w:numId w:val="31"/>
              </w:numPr>
              <w:tabs>
                <w:tab w:val="clear" w:pos="1440"/>
              </w:tabs>
              <w:spacing w:after="0"/>
              <w:ind w:left="265" w:hanging="265"/>
              <w:rPr>
                <w:rFonts w:ascii="Century Gothic" w:hAnsi="Century Gothic" w:cs="Times New Roman"/>
                <w:color w:val="000000"/>
                <w:sz w:val="18"/>
                <w:szCs w:val="18"/>
              </w:rPr>
            </w:pPr>
            <w:r w:rsidRPr="009B5B48">
              <w:rPr>
                <w:rFonts w:ascii="Century Gothic" w:hAnsi="Century Gothic" w:cs="Times New Roman"/>
                <w:color w:val="000000"/>
                <w:sz w:val="18"/>
                <w:szCs w:val="18"/>
              </w:rPr>
              <w:t>miarka, flamaster</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8D0032E"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F16DD0B" w14:textId="77777777" w:rsidR="009B5B48" w:rsidRPr="00814F28" w:rsidRDefault="009B5B48"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B2AC6F6" w14:textId="77777777" w:rsidR="009B5B48" w:rsidRPr="00814F28" w:rsidRDefault="009B5B48"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517BE3B4"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583443DF" w14:textId="14ECF95C" w:rsidR="001F330F" w:rsidRPr="00B72402" w:rsidRDefault="001F330F" w:rsidP="00B72402">
      <w:pPr>
        <w:pStyle w:val="Podtytu"/>
      </w:pPr>
      <w:r>
        <w:br w:type="page"/>
      </w:r>
      <w:r w:rsidRPr="00814F28">
        <w:rPr>
          <w:rFonts w:ascii="Century Gothic" w:hAnsi="Century Gothic" w:cs="Times New Roman"/>
          <w:b/>
          <w:color w:val="000000" w:themeColor="text1"/>
          <w:sz w:val="18"/>
          <w:szCs w:val="18"/>
        </w:rPr>
        <w:lastRenderedPageBreak/>
        <w:t>Warunki gwarancji, serwisu i szkolenia</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w:t>
            </w:r>
            <w:r w:rsidRPr="00814F28">
              <w:rPr>
                <w:rFonts w:ascii="Century Gothic" w:hAnsi="Century Gothic"/>
                <w:color w:val="000000" w:themeColor="text1"/>
                <w:sz w:val="18"/>
                <w:szCs w:val="18"/>
              </w:rPr>
              <w:lastRenderedPageBreak/>
              <w:t xml:space="preserve">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2192913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EDA6445" w14:textId="77777777"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59AF9" w14:textId="77777777" w:rsidR="006C504A" w:rsidRDefault="006C504A">
      <w:pPr>
        <w:spacing w:after="0" w:line="240" w:lineRule="auto"/>
      </w:pPr>
      <w:r>
        <w:separator/>
      </w:r>
    </w:p>
  </w:endnote>
  <w:endnote w:type="continuationSeparator" w:id="0">
    <w:p w14:paraId="0C41F47B" w14:textId="77777777" w:rsidR="006C504A" w:rsidRDefault="006C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altName w:val="MS Mincho"/>
    <w:charset w:val="80"/>
    <w:family w:val="auto"/>
    <w:pitch w:val="variable"/>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45BFDCA0" w:rsidR="007E0E80" w:rsidRDefault="007E0E80">
        <w:pPr>
          <w:pStyle w:val="Stopka"/>
          <w:jc w:val="right"/>
        </w:pPr>
        <w:r>
          <w:fldChar w:fldCharType="begin"/>
        </w:r>
        <w:r>
          <w:instrText>PAGE   \* MERGEFORMAT</w:instrText>
        </w:r>
        <w:r>
          <w:fldChar w:fldCharType="separate"/>
        </w:r>
        <w:r w:rsidR="0009320F">
          <w:rPr>
            <w:noProof/>
          </w:rPr>
          <w:t>1</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754A9" w14:textId="77777777" w:rsidR="006C504A" w:rsidRDefault="006C504A">
      <w:pPr>
        <w:spacing w:after="0" w:line="240" w:lineRule="auto"/>
      </w:pPr>
      <w:r>
        <w:separator/>
      </w:r>
    </w:p>
  </w:footnote>
  <w:footnote w:type="continuationSeparator" w:id="0">
    <w:p w14:paraId="6BAB2F42" w14:textId="77777777" w:rsidR="006C504A" w:rsidRDefault="006C5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4057D"/>
    <w:rsid w:val="000528F6"/>
    <w:rsid w:val="00086DAF"/>
    <w:rsid w:val="0009320F"/>
    <w:rsid w:val="000D7E99"/>
    <w:rsid w:val="000E163E"/>
    <w:rsid w:val="000F552F"/>
    <w:rsid w:val="00105A50"/>
    <w:rsid w:val="001322F3"/>
    <w:rsid w:val="00136BEF"/>
    <w:rsid w:val="001447CC"/>
    <w:rsid w:val="00170021"/>
    <w:rsid w:val="00171775"/>
    <w:rsid w:val="001923B7"/>
    <w:rsid w:val="001A6717"/>
    <w:rsid w:val="001C2ED6"/>
    <w:rsid w:val="001E2423"/>
    <w:rsid w:val="001F330F"/>
    <w:rsid w:val="00201020"/>
    <w:rsid w:val="002167ED"/>
    <w:rsid w:val="00237B1C"/>
    <w:rsid w:val="00271F9F"/>
    <w:rsid w:val="00284F3D"/>
    <w:rsid w:val="002923AD"/>
    <w:rsid w:val="002A2069"/>
    <w:rsid w:val="002B7601"/>
    <w:rsid w:val="002C1247"/>
    <w:rsid w:val="002D2FBB"/>
    <w:rsid w:val="002D3DE1"/>
    <w:rsid w:val="002E0523"/>
    <w:rsid w:val="002E1100"/>
    <w:rsid w:val="002F31EB"/>
    <w:rsid w:val="002F7042"/>
    <w:rsid w:val="002F782A"/>
    <w:rsid w:val="003038D3"/>
    <w:rsid w:val="00306636"/>
    <w:rsid w:val="00363D5C"/>
    <w:rsid w:val="0036585E"/>
    <w:rsid w:val="00376477"/>
    <w:rsid w:val="003848D6"/>
    <w:rsid w:val="003C6177"/>
    <w:rsid w:val="003E55A9"/>
    <w:rsid w:val="004158E9"/>
    <w:rsid w:val="00415D7D"/>
    <w:rsid w:val="004229BC"/>
    <w:rsid w:val="00425FFA"/>
    <w:rsid w:val="00497807"/>
    <w:rsid w:val="004F068C"/>
    <w:rsid w:val="004F13C0"/>
    <w:rsid w:val="0050223B"/>
    <w:rsid w:val="005500A5"/>
    <w:rsid w:val="0055779A"/>
    <w:rsid w:val="00561C32"/>
    <w:rsid w:val="005B58E8"/>
    <w:rsid w:val="005D1030"/>
    <w:rsid w:val="005E7BA5"/>
    <w:rsid w:val="00615208"/>
    <w:rsid w:val="00621858"/>
    <w:rsid w:val="00667DE7"/>
    <w:rsid w:val="00681422"/>
    <w:rsid w:val="00687F7A"/>
    <w:rsid w:val="006C1707"/>
    <w:rsid w:val="006C4C5C"/>
    <w:rsid w:val="006C504A"/>
    <w:rsid w:val="006D58D0"/>
    <w:rsid w:val="006F2565"/>
    <w:rsid w:val="006F3D54"/>
    <w:rsid w:val="0070092A"/>
    <w:rsid w:val="007029A8"/>
    <w:rsid w:val="00704C51"/>
    <w:rsid w:val="00720ABF"/>
    <w:rsid w:val="007438A9"/>
    <w:rsid w:val="00745BF5"/>
    <w:rsid w:val="00771DCB"/>
    <w:rsid w:val="007746A1"/>
    <w:rsid w:val="00787E83"/>
    <w:rsid w:val="007C5027"/>
    <w:rsid w:val="007D412F"/>
    <w:rsid w:val="007E0E80"/>
    <w:rsid w:val="007E3055"/>
    <w:rsid w:val="008027B6"/>
    <w:rsid w:val="00820479"/>
    <w:rsid w:val="00827952"/>
    <w:rsid w:val="00843031"/>
    <w:rsid w:val="008568A1"/>
    <w:rsid w:val="00882F47"/>
    <w:rsid w:val="008A37D1"/>
    <w:rsid w:val="008A55E7"/>
    <w:rsid w:val="008A7CF8"/>
    <w:rsid w:val="008C3D90"/>
    <w:rsid w:val="00933CE7"/>
    <w:rsid w:val="00947F90"/>
    <w:rsid w:val="00973F9C"/>
    <w:rsid w:val="00974369"/>
    <w:rsid w:val="009A6677"/>
    <w:rsid w:val="009B5B48"/>
    <w:rsid w:val="009B63A8"/>
    <w:rsid w:val="009C2BD4"/>
    <w:rsid w:val="009D3B1F"/>
    <w:rsid w:val="009D78FF"/>
    <w:rsid w:val="009F48D6"/>
    <w:rsid w:val="00A079B3"/>
    <w:rsid w:val="00A31790"/>
    <w:rsid w:val="00A4429C"/>
    <w:rsid w:val="00A459BC"/>
    <w:rsid w:val="00A57BAC"/>
    <w:rsid w:val="00A62E79"/>
    <w:rsid w:val="00A7276B"/>
    <w:rsid w:val="00A93444"/>
    <w:rsid w:val="00AB154B"/>
    <w:rsid w:val="00AD1447"/>
    <w:rsid w:val="00AD596F"/>
    <w:rsid w:val="00B347F4"/>
    <w:rsid w:val="00B358B1"/>
    <w:rsid w:val="00B41074"/>
    <w:rsid w:val="00B46757"/>
    <w:rsid w:val="00B72402"/>
    <w:rsid w:val="00C07BAB"/>
    <w:rsid w:val="00C313A9"/>
    <w:rsid w:val="00C426EF"/>
    <w:rsid w:val="00C7711C"/>
    <w:rsid w:val="00CB4EE6"/>
    <w:rsid w:val="00CD1C79"/>
    <w:rsid w:val="00D20673"/>
    <w:rsid w:val="00D31A7C"/>
    <w:rsid w:val="00D713E2"/>
    <w:rsid w:val="00DA0776"/>
    <w:rsid w:val="00DB22A9"/>
    <w:rsid w:val="00DF217E"/>
    <w:rsid w:val="00DF3A51"/>
    <w:rsid w:val="00E27A66"/>
    <w:rsid w:val="00E62620"/>
    <w:rsid w:val="00E76E53"/>
    <w:rsid w:val="00E86AAF"/>
    <w:rsid w:val="00EA6574"/>
    <w:rsid w:val="00EC16D0"/>
    <w:rsid w:val="00ED7F95"/>
    <w:rsid w:val="00EF4F92"/>
    <w:rsid w:val="00EF62F1"/>
    <w:rsid w:val="00F04A70"/>
    <w:rsid w:val="00F274F0"/>
    <w:rsid w:val="00F76D26"/>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1F1B230D-8ADB-4502-89D5-FDDE839A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3A9A7-ED5B-43B0-8872-7468FADE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2225</Words>
  <Characters>13355</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36</cp:revision>
  <dcterms:created xsi:type="dcterms:W3CDTF">2019-07-08T09:12:00Z</dcterms:created>
  <dcterms:modified xsi:type="dcterms:W3CDTF">2019-07-09T06:11:00Z</dcterms:modified>
</cp:coreProperties>
</file>