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11" w:rsidRPr="002C0BAD" w:rsidRDefault="00F83805" w:rsidP="00023411">
      <w:pPr>
        <w:pStyle w:val="Skrconyadreszwrotny"/>
        <w:spacing w:line="288" w:lineRule="auto"/>
        <w:jc w:val="center"/>
        <w:rPr>
          <w:b/>
          <w:color w:val="000000" w:themeColor="text1"/>
          <w:sz w:val="20"/>
        </w:rPr>
      </w:pPr>
      <w:r w:rsidRPr="002C0BAD">
        <w:rPr>
          <w:b/>
          <w:color w:val="000000" w:themeColor="text1"/>
          <w:sz w:val="20"/>
        </w:rPr>
        <w:t>Część</w:t>
      </w:r>
      <w:r w:rsidR="00023411" w:rsidRPr="002C0BAD">
        <w:rPr>
          <w:b/>
          <w:color w:val="000000" w:themeColor="text1"/>
          <w:sz w:val="20"/>
        </w:rPr>
        <w:t xml:space="preserve"> 2 – system endoskopowy (na sale operacyjne neurochirurgii) – 2 </w:t>
      </w:r>
      <w:proofErr w:type="spellStart"/>
      <w:r w:rsidR="00023411" w:rsidRPr="002C0BAD">
        <w:rPr>
          <w:b/>
          <w:color w:val="000000" w:themeColor="text1"/>
          <w:sz w:val="20"/>
        </w:rPr>
        <w:t>kpl</w:t>
      </w:r>
      <w:proofErr w:type="spellEnd"/>
      <w:r w:rsidR="00023411" w:rsidRPr="002C0BAD">
        <w:rPr>
          <w:b/>
          <w:color w:val="000000" w:themeColor="text1"/>
          <w:sz w:val="20"/>
        </w:rPr>
        <w:t>.</w:t>
      </w:r>
    </w:p>
    <w:p w:rsidR="00023411" w:rsidRPr="002C0BAD" w:rsidRDefault="00023411" w:rsidP="00023411">
      <w:pPr>
        <w:pStyle w:val="Skrconyadreszwrotny"/>
        <w:spacing w:line="288" w:lineRule="auto"/>
        <w:jc w:val="both"/>
        <w:rPr>
          <w:color w:val="000000" w:themeColor="text1"/>
          <w:sz w:val="20"/>
          <w:u w:val="single"/>
        </w:rPr>
      </w:pPr>
    </w:p>
    <w:p w:rsidR="00023411" w:rsidRPr="002C0BAD" w:rsidRDefault="00023411" w:rsidP="00023411">
      <w:pPr>
        <w:pStyle w:val="Skrconyadreszwrotny"/>
        <w:spacing w:line="288" w:lineRule="auto"/>
        <w:jc w:val="both"/>
        <w:rPr>
          <w:color w:val="000000" w:themeColor="text1"/>
          <w:sz w:val="20"/>
          <w:u w:val="single"/>
        </w:rPr>
      </w:pPr>
    </w:p>
    <w:p w:rsidR="00023411" w:rsidRPr="002C0BAD" w:rsidRDefault="00023411" w:rsidP="00023411">
      <w:pPr>
        <w:pStyle w:val="Skrconyadreszwrotny"/>
        <w:spacing w:line="288" w:lineRule="auto"/>
        <w:jc w:val="both"/>
        <w:rPr>
          <w:color w:val="000000" w:themeColor="text1"/>
          <w:sz w:val="20"/>
          <w:u w:val="single"/>
        </w:rPr>
      </w:pPr>
      <w:r w:rsidRPr="002C0BAD">
        <w:rPr>
          <w:color w:val="000000" w:themeColor="text1"/>
          <w:sz w:val="20"/>
          <w:u w:val="single"/>
        </w:rPr>
        <w:t>Uwagi i objaśnienia:</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Parametry określone jako „tak” są parametrami granicznymi. Udzielenie odpowiedzi „nie” lub innej nie stanowiącej jednoznacznego potwierdzenia spełniania warunku będzie skutkowało odrzuceniem oferty.</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Parametry o określonych warunkach liczbowych ( „&gt;=”  lub „=&lt;” ) są również warunkami granicznymi, których niespełnienie spowoduje odrzucenie oferty. Wartość podana przy w/w znakach oznacza wartość wymaganą.</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Brak odpowiedzi w przypadku pozostałych warunków, punktowany będzie jako 0.</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Wykonawca zobowiązany jest do podania parametrów w jednostkach wskazanych w niniejszym opisie,</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 xml:space="preserve">Wykonawca gwarantuje niniejszym, że sprzęt jest fabrycznie nowy (rok produkcji 2019) nie jest </w:t>
      </w:r>
      <w:proofErr w:type="spellStart"/>
      <w:r w:rsidRPr="002C0BAD">
        <w:rPr>
          <w:color w:val="000000" w:themeColor="text1"/>
          <w:sz w:val="20"/>
        </w:rPr>
        <w:t>rekondycjonowany</w:t>
      </w:r>
      <w:proofErr w:type="spellEnd"/>
      <w:r w:rsidRPr="002C0BAD">
        <w:rPr>
          <w:color w:val="000000" w:themeColor="text1"/>
          <w:sz w:val="20"/>
        </w:rPr>
        <w:t>, używany, powystawowy,  jest kompletny i do jego uruchomienia oraz stosowania zgodnie z przeznaczeniem nie jest konieczny zakup dodatkowych elementów i akcesoriów.</w:t>
      </w:r>
    </w:p>
    <w:p w:rsidR="00023411" w:rsidRPr="002C0BAD" w:rsidRDefault="00023411" w:rsidP="00023411">
      <w:pPr>
        <w:pStyle w:val="Skrconyadreszwrotny"/>
        <w:widowControl/>
        <w:numPr>
          <w:ilvl w:val="0"/>
          <w:numId w:val="2"/>
        </w:numPr>
        <w:spacing w:line="288" w:lineRule="auto"/>
        <w:ind w:left="0"/>
        <w:jc w:val="both"/>
        <w:rPr>
          <w:color w:val="000000" w:themeColor="text1"/>
          <w:sz w:val="20"/>
        </w:rPr>
      </w:pPr>
      <w:r w:rsidRPr="002C0BAD">
        <w:rPr>
          <w:color w:val="000000" w:themeColor="text1"/>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220710" w:rsidRPr="002C0BAD" w:rsidRDefault="00220710"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tbl>
      <w:tblPr>
        <w:tblStyle w:val="Tabela-Siatka"/>
        <w:tblW w:w="0" w:type="auto"/>
        <w:tblLook w:val="04A0" w:firstRow="1" w:lastRow="0" w:firstColumn="1" w:lastColumn="0" w:noHBand="0" w:noVBand="1"/>
      </w:tblPr>
      <w:tblGrid>
        <w:gridCol w:w="2779"/>
        <w:gridCol w:w="5664"/>
        <w:gridCol w:w="5551"/>
      </w:tblGrid>
      <w:tr w:rsidR="002C0BAD" w:rsidRPr="002C0BAD" w:rsidTr="003B2967">
        <w:trPr>
          <w:trHeight w:val="135"/>
        </w:trPr>
        <w:tc>
          <w:tcPr>
            <w:tcW w:w="2779" w:type="dxa"/>
            <w:vMerge w:val="restart"/>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11215" w:type="dxa"/>
            <w:gridSpan w:val="2"/>
            <w:vAlign w:val="center"/>
          </w:tcPr>
          <w:p w:rsidR="003B3A7C" w:rsidRPr="002C0BAD" w:rsidRDefault="003B3A7C" w:rsidP="00971AB5">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 xml:space="preserve">System endoskopowy (tor wizyjny + osprzęt) – 2 </w:t>
            </w:r>
            <w:proofErr w:type="spellStart"/>
            <w:r w:rsidRPr="002C0BAD">
              <w:rPr>
                <w:rFonts w:ascii="Times New Roman" w:eastAsia="Times New Roman" w:hAnsi="Times New Roman" w:cs="Times New Roman"/>
                <w:b/>
                <w:bCs/>
                <w:color w:val="000000" w:themeColor="text1"/>
                <w:sz w:val="20"/>
                <w:szCs w:val="20"/>
              </w:rPr>
              <w:t>kpl</w:t>
            </w:r>
            <w:proofErr w:type="spellEnd"/>
            <w:r w:rsidRPr="002C0BAD">
              <w:rPr>
                <w:rFonts w:ascii="Times New Roman" w:eastAsia="Times New Roman" w:hAnsi="Times New Roman" w:cs="Times New Roman"/>
                <w:b/>
                <w:bCs/>
                <w:color w:val="000000" w:themeColor="text1"/>
                <w:sz w:val="20"/>
                <w:szCs w:val="20"/>
              </w:rPr>
              <w:t>.</w:t>
            </w:r>
          </w:p>
        </w:tc>
      </w:tr>
      <w:tr w:rsidR="002C0BAD" w:rsidRPr="002C0BAD" w:rsidTr="003B3A7C">
        <w:trPr>
          <w:trHeight w:val="135"/>
        </w:trPr>
        <w:tc>
          <w:tcPr>
            <w:tcW w:w="2779" w:type="dxa"/>
            <w:vMerge/>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664" w:type="dxa"/>
            <w:vAlign w:val="center"/>
          </w:tcPr>
          <w:p w:rsidR="003B3A7C" w:rsidRPr="002C0BAD" w:rsidRDefault="003B3A7C" w:rsidP="00971AB5">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System endoskopowy nr 1</w:t>
            </w:r>
          </w:p>
        </w:tc>
        <w:tc>
          <w:tcPr>
            <w:tcW w:w="5551" w:type="dxa"/>
            <w:vAlign w:val="center"/>
          </w:tcPr>
          <w:p w:rsidR="003B3A7C" w:rsidRPr="002C0BAD" w:rsidRDefault="003B3A7C" w:rsidP="00971AB5">
            <w:pPr>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System endoskopowy nr 1</w:t>
            </w:r>
          </w:p>
        </w:tc>
      </w:tr>
      <w:tr w:rsidR="002C0BAD" w:rsidRPr="002C0BAD" w:rsidTr="003B3A7C">
        <w:tc>
          <w:tcPr>
            <w:tcW w:w="2779"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Nazwa i typ</w:t>
            </w:r>
          </w:p>
        </w:tc>
        <w:tc>
          <w:tcPr>
            <w:tcW w:w="5664"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Producent</w:t>
            </w:r>
          </w:p>
        </w:tc>
        <w:tc>
          <w:tcPr>
            <w:tcW w:w="5664"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Kraj produkcji</w:t>
            </w:r>
          </w:p>
        </w:tc>
        <w:tc>
          <w:tcPr>
            <w:tcW w:w="5664"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r>
      <w:tr w:rsidR="002C0BAD" w:rsidRPr="002C0BAD" w:rsidTr="003B3A7C">
        <w:tc>
          <w:tcPr>
            <w:tcW w:w="2779"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Rok produkcji</w:t>
            </w:r>
          </w:p>
        </w:tc>
        <w:tc>
          <w:tcPr>
            <w:tcW w:w="5664"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r>
      <w:tr w:rsidR="003B3A7C" w:rsidRPr="002C0BAD" w:rsidTr="003B3A7C">
        <w:tc>
          <w:tcPr>
            <w:tcW w:w="2779"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Klasa wyrobu medycznego</w:t>
            </w:r>
          </w:p>
        </w:tc>
        <w:tc>
          <w:tcPr>
            <w:tcW w:w="5664"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c>
          <w:tcPr>
            <w:tcW w:w="5551" w:type="dxa"/>
          </w:tcPr>
          <w:p w:rsidR="003B3A7C" w:rsidRPr="002C0BAD" w:rsidRDefault="003B3A7C" w:rsidP="00971AB5">
            <w:pPr>
              <w:spacing w:line="288" w:lineRule="auto"/>
              <w:rPr>
                <w:rFonts w:ascii="Times New Roman" w:eastAsia="Times New Roman" w:hAnsi="Times New Roman" w:cs="Times New Roman"/>
                <w:b/>
                <w:bCs/>
                <w:color w:val="000000" w:themeColor="text1"/>
                <w:sz w:val="20"/>
                <w:szCs w:val="20"/>
              </w:rPr>
            </w:pPr>
          </w:p>
        </w:tc>
      </w:tr>
    </w:tbl>
    <w:p w:rsidR="00220710" w:rsidRPr="002C0BAD" w:rsidRDefault="00220710"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p w:rsidR="005013EC" w:rsidRPr="002C0BAD" w:rsidRDefault="005013EC" w:rsidP="00220710">
      <w:pPr>
        <w:rPr>
          <w:rFonts w:ascii="Times New Roman" w:hAnsi="Times New Roman" w:cs="Times New Roman"/>
          <w:color w:val="000000" w:themeColor="text1"/>
          <w:sz w:val="20"/>
          <w:szCs w:val="20"/>
        </w:rPr>
      </w:pPr>
    </w:p>
    <w:p w:rsidR="0045532B" w:rsidRDefault="00220710" w:rsidP="0045532B">
      <w:pPr>
        <w:spacing w:after="0" w:line="288" w:lineRule="auto"/>
        <w:ind w:firstLine="142"/>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lastRenderedPageBreak/>
        <w:t>Tabela wyceny:</w:t>
      </w:r>
    </w:p>
    <w:tbl>
      <w:tblPr>
        <w:tblStyle w:val="Tabela-Siatka"/>
        <w:tblW w:w="11052" w:type="dxa"/>
        <w:tblLook w:val="04A0" w:firstRow="1" w:lastRow="0" w:firstColumn="1" w:lastColumn="0" w:noHBand="0" w:noVBand="1"/>
      </w:tblPr>
      <w:tblGrid>
        <w:gridCol w:w="1555"/>
        <w:gridCol w:w="2551"/>
        <w:gridCol w:w="1418"/>
        <w:gridCol w:w="5528"/>
      </w:tblGrid>
      <w:tr w:rsidR="0045532B" w:rsidRPr="00A22322" w:rsidTr="0045532B">
        <w:tc>
          <w:tcPr>
            <w:tcW w:w="11052" w:type="dxa"/>
            <w:gridSpan w:val="4"/>
            <w:vAlign w:val="center"/>
          </w:tcPr>
          <w:p w:rsidR="0045532B" w:rsidRPr="00A22322" w:rsidRDefault="0045532B" w:rsidP="006812D1">
            <w:pPr>
              <w:rPr>
                <w:rFonts w:ascii="Times New Roman" w:hAnsi="Times New Roman" w:cs="Times New Roman"/>
                <w:b/>
              </w:rPr>
            </w:pPr>
            <w:r w:rsidRPr="00A22322">
              <w:rPr>
                <w:rFonts w:ascii="Times New Roman" w:hAnsi="Times New Roman" w:cs="Times New Roman"/>
                <w:b/>
              </w:rPr>
              <w:t>Przedmiot:   System endosko</w:t>
            </w:r>
            <w:r>
              <w:rPr>
                <w:rFonts w:ascii="Times New Roman" w:hAnsi="Times New Roman" w:cs="Times New Roman"/>
                <w:b/>
              </w:rPr>
              <w:t>powy (tor wizyjny + osprzęt) – 2</w:t>
            </w:r>
            <w:r w:rsidRPr="00A22322">
              <w:rPr>
                <w:rFonts w:ascii="Times New Roman" w:hAnsi="Times New Roman" w:cs="Times New Roman"/>
                <w:b/>
              </w:rPr>
              <w:t xml:space="preserve"> </w:t>
            </w:r>
            <w:proofErr w:type="spellStart"/>
            <w:r w:rsidRPr="00A22322">
              <w:rPr>
                <w:rFonts w:ascii="Times New Roman" w:hAnsi="Times New Roman" w:cs="Times New Roman"/>
                <w:b/>
              </w:rPr>
              <w:t>kpl</w:t>
            </w:r>
            <w:proofErr w:type="spellEnd"/>
            <w:r w:rsidRPr="00A22322">
              <w:rPr>
                <w:rFonts w:ascii="Times New Roman" w:hAnsi="Times New Roman" w:cs="Times New Roman"/>
                <w:b/>
              </w:rPr>
              <w:t>.</w:t>
            </w:r>
          </w:p>
        </w:tc>
      </w:tr>
      <w:tr w:rsidR="0045532B" w:rsidRPr="00161978" w:rsidTr="0045532B">
        <w:tc>
          <w:tcPr>
            <w:tcW w:w="4106" w:type="dxa"/>
            <w:gridSpan w:val="2"/>
            <w:vAlign w:val="center"/>
          </w:tcPr>
          <w:p w:rsidR="0045532B" w:rsidRPr="009940FA" w:rsidRDefault="0045532B"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Cena jednostkowa    </w:t>
            </w:r>
          </w:p>
          <w:p w:rsidR="0045532B" w:rsidRPr="009940FA" w:rsidRDefault="0045532B" w:rsidP="006812D1">
            <w:pPr>
              <w:rPr>
                <w:rFonts w:ascii="Times New Roman" w:hAnsi="Times New Roman" w:cs="Times New Roman"/>
                <w:b/>
                <w:color w:val="000000" w:themeColor="text1"/>
              </w:rPr>
            </w:pPr>
            <w:r w:rsidRPr="009940FA">
              <w:rPr>
                <w:rFonts w:ascii="Times New Roman" w:hAnsi="Times New Roman" w:cs="Times New Roman"/>
                <w:b/>
                <w:color w:val="000000" w:themeColor="text1"/>
              </w:rPr>
              <w:t xml:space="preserve">                                                brutto (zł)</w:t>
            </w:r>
          </w:p>
        </w:tc>
        <w:tc>
          <w:tcPr>
            <w:tcW w:w="1418" w:type="dxa"/>
            <w:vAlign w:val="center"/>
          </w:tcPr>
          <w:p w:rsidR="0045532B" w:rsidRPr="00161978" w:rsidRDefault="0045532B" w:rsidP="006812D1">
            <w:pPr>
              <w:rPr>
                <w:rFonts w:ascii="Times New Roman" w:hAnsi="Times New Roman" w:cs="Times New Roman"/>
                <w:b/>
              </w:rPr>
            </w:pPr>
            <w:r w:rsidRPr="00161978">
              <w:rPr>
                <w:rFonts w:ascii="Times New Roman" w:hAnsi="Times New Roman" w:cs="Times New Roman"/>
                <w:b/>
              </w:rPr>
              <w:t>Ilość kompletów sprzętu</w:t>
            </w:r>
          </w:p>
        </w:tc>
        <w:tc>
          <w:tcPr>
            <w:tcW w:w="5528" w:type="dxa"/>
            <w:vAlign w:val="center"/>
          </w:tcPr>
          <w:p w:rsidR="0045532B" w:rsidRPr="00161978" w:rsidRDefault="0045532B" w:rsidP="006812D1">
            <w:pPr>
              <w:rPr>
                <w:rFonts w:ascii="Times New Roman" w:hAnsi="Times New Roman" w:cs="Times New Roman"/>
                <w:b/>
              </w:rPr>
            </w:pPr>
            <w:r w:rsidRPr="00161978">
              <w:rPr>
                <w:rFonts w:ascii="Times New Roman" w:hAnsi="Times New Roman" w:cs="Times New Roman"/>
                <w:b/>
              </w:rPr>
              <w:t>Cena jednostkowa x ilość kompletów sprzętu</w:t>
            </w:r>
            <w:r>
              <w:rPr>
                <w:rFonts w:ascii="Times New Roman" w:hAnsi="Times New Roman" w:cs="Times New Roman"/>
                <w:b/>
              </w:rPr>
              <w:t xml:space="preserve"> (zł)</w:t>
            </w:r>
          </w:p>
        </w:tc>
      </w:tr>
      <w:tr w:rsidR="0045532B" w:rsidRPr="00B05261" w:rsidTr="0045532B">
        <w:trPr>
          <w:trHeight w:val="224"/>
        </w:trPr>
        <w:tc>
          <w:tcPr>
            <w:tcW w:w="1555" w:type="dxa"/>
            <w:vAlign w:val="center"/>
          </w:tcPr>
          <w:p w:rsidR="0045532B" w:rsidRPr="009940FA" w:rsidRDefault="0045532B"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1:</w:t>
            </w:r>
          </w:p>
        </w:tc>
        <w:tc>
          <w:tcPr>
            <w:tcW w:w="2551" w:type="dxa"/>
            <w:vAlign w:val="center"/>
          </w:tcPr>
          <w:p w:rsidR="0045532B" w:rsidRPr="009940FA" w:rsidRDefault="0045532B" w:rsidP="006812D1">
            <w:pPr>
              <w:rPr>
                <w:rFonts w:ascii="Times New Roman" w:hAnsi="Times New Roman" w:cs="Times New Roman"/>
                <w:color w:val="000000" w:themeColor="text1"/>
              </w:rPr>
            </w:pPr>
          </w:p>
        </w:tc>
        <w:tc>
          <w:tcPr>
            <w:tcW w:w="1418" w:type="dxa"/>
            <w:vAlign w:val="center"/>
          </w:tcPr>
          <w:p w:rsidR="0045532B" w:rsidRPr="00B05261" w:rsidRDefault="0045532B" w:rsidP="006812D1">
            <w:pPr>
              <w:rPr>
                <w:rFonts w:ascii="Times New Roman" w:hAnsi="Times New Roman" w:cs="Times New Roman"/>
              </w:rPr>
            </w:pPr>
            <w:r w:rsidRPr="00B05261">
              <w:rPr>
                <w:rFonts w:ascii="Times New Roman" w:hAnsi="Times New Roman" w:cs="Times New Roman"/>
              </w:rPr>
              <w:t>1</w:t>
            </w:r>
          </w:p>
        </w:tc>
        <w:tc>
          <w:tcPr>
            <w:tcW w:w="5528" w:type="dxa"/>
          </w:tcPr>
          <w:p w:rsidR="0045532B" w:rsidRPr="00B05261" w:rsidRDefault="0045532B" w:rsidP="006812D1">
            <w:pPr>
              <w:rPr>
                <w:rFonts w:ascii="Times New Roman" w:hAnsi="Times New Roman" w:cs="Times New Roman"/>
              </w:rPr>
            </w:pPr>
          </w:p>
        </w:tc>
      </w:tr>
      <w:tr w:rsidR="0045532B" w:rsidRPr="00B05261" w:rsidTr="0045532B">
        <w:tc>
          <w:tcPr>
            <w:tcW w:w="1555" w:type="dxa"/>
            <w:vAlign w:val="center"/>
          </w:tcPr>
          <w:p w:rsidR="0045532B" w:rsidRPr="009940FA" w:rsidRDefault="0045532B" w:rsidP="006812D1">
            <w:pPr>
              <w:rPr>
                <w:rFonts w:ascii="Times New Roman" w:eastAsia="Times New Roman" w:hAnsi="Times New Roman" w:cs="Times New Roman"/>
                <w:bCs/>
                <w:color w:val="000000" w:themeColor="text1"/>
                <w:sz w:val="18"/>
                <w:szCs w:val="20"/>
              </w:rPr>
            </w:pPr>
            <w:r w:rsidRPr="009940FA">
              <w:rPr>
                <w:rFonts w:ascii="Times New Roman" w:eastAsia="Times New Roman" w:hAnsi="Times New Roman" w:cs="Times New Roman"/>
                <w:bCs/>
                <w:color w:val="000000" w:themeColor="text1"/>
                <w:sz w:val="18"/>
                <w:szCs w:val="20"/>
              </w:rPr>
              <w:t>Komplet nr 2:</w:t>
            </w:r>
          </w:p>
        </w:tc>
        <w:tc>
          <w:tcPr>
            <w:tcW w:w="2551" w:type="dxa"/>
            <w:vAlign w:val="center"/>
          </w:tcPr>
          <w:p w:rsidR="0045532B" w:rsidRPr="009940FA" w:rsidRDefault="0045532B" w:rsidP="006812D1">
            <w:pPr>
              <w:rPr>
                <w:rFonts w:ascii="Times New Roman" w:hAnsi="Times New Roman" w:cs="Times New Roman"/>
                <w:color w:val="000000" w:themeColor="text1"/>
              </w:rPr>
            </w:pPr>
          </w:p>
        </w:tc>
        <w:tc>
          <w:tcPr>
            <w:tcW w:w="1418" w:type="dxa"/>
            <w:vAlign w:val="center"/>
          </w:tcPr>
          <w:p w:rsidR="0045532B" w:rsidRPr="00B05261" w:rsidRDefault="0045532B" w:rsidP="006812D1">
            <w:pPr>
              <w:rPr>
                <w:rFonts w:ascii="Times New Roman" w:hAnsi="Times New Roman" w:cs="Times New Roman"/>
              </w:rPr>
            </w:pPr>
            <w:r w:rsidRPr="00B05261">
              <w:rPr>
                <w:rFonts w:ascii="Times New Roman" w:hAnsi="Times New Roman" w:cs="Times New Roman"/>
              </w:rPr>
              <w:t>1</w:t>
            </w:r>
          </w:p>
        </w:tc>
        <w:tc>
          <w:tcPr>
            <w:tcW w:w="5528" w:type="dxa"/>
          </w:tcPr>
          <w:p w:rsidR="0045532B" w:rsidRPr="00B05261" w:rsidRDefault="0045532B" w:rsidP="006812D1">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 Suma cen brutt</w:t>
            </w:r>
            <w:r>
              <w:rPr>
                <w:rFonts w:ascii="Times New Roman" w:eastAsia="Times New Roman" w:hAnsi="Times New Roman" w:cs="Times New Roman"/>
                <w:b/>
                <w:bCs/>
                <w:color w:val="000000" w:themeColor="text1"/>
                <w:sz w:val="18"/>
                <w:szCs w:val="20"/>
              </w:rPr>
              <w:t>o kompletów nr 1, 2</w:t>
            </w:r>
            <w:r w:rsidRPr="001344D6">
              <w:rPr>
                <w:rFonts w:ascii="Times New Roman" w:eastAsia="Times New Roman" w:hAnsi="Times New Roman" w:cs="Times New Roman"/>
                <w:b/>
                <w:bCs/>
                <w:color w:val="000000" w:themeColor="text1"/>
                <w:sz w:val="18"/>
                <w:szCs w:val="20"/>
              </w:rPr>
              <w:t xml:space="preserve"> wraz z dostawą</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6812D1">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B: Cena brutto instalacji i uruchomienia sprzętu</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6812D1">
            <w:pPr>
              <w:rPr>
                <w:rFonts w:ascii="Times New Roman" w:hAnsi="Times New Roman" w:cs="Times New Roman"/>
              </w:rPr>
            </w:pPr>
          </w:p>
        </w:tc>
      </w:tr>
      <w:tr w:rsidR="0045532B" w:rsidRPr="00B05261" w:rsidTr="0045532B">
        <w:tc>
          <w:tcPr>
            <w:tcW w:w="5524" w:type="dxa"/>
            <w:gridSpan w:val="3"/>
            <w:vAlign w:val="center"/>
          </w:tcPr>
          <w:p w:rsidR="0045532B" w:rsidRPr="001344D6" w:rsidRDefault="0045532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C: Cena brutto szkoleń</w:t>
            </w:r>
            <w:r>
              <w:rPr>
                <w:rFonts w:ascii="Times New Roman" w:eastAsia="Times New Roman" w:hAnsi="Times New Roman" w:cs="Times New Roman"/>
                <w:b/>
                <w:bCs/>
                <w:color w:val="000000" w:themeColor="text1"/>
                <w:sz w:val="18"/>
                <w:szCs w:val="20"/>
              </w:rPr>
              <w:t xml:space="preserve"> (zł)</w:t>
            </w:r>
          </w:p>
        </w:tc>
        <w:tc>
          <w:tcPr>
            <w:tcW w:w="5528" w:type="dxa"/>
          </w:tcPr>
          <w:p w:rsidR="0045532B" w:rsidRPr="00B05261" w:rsidRDefault="0045532B" w:rsidP="006812D1">
            <w:pPr>
              <w:rPr>
                <w:rFonts w:ascii="Times New Roman" w:hAnsi="Times New Roman" w:cs="Times New Roman"/>
              </w:rPr>
            </w:pPr>
          </w:p>
        </w:tc>
      </w:tr>
      <w:tr w:rsidR="0045532B" w:rsidRPr="00B05261" w:rsidTr="0045532B">
        <w:tc>
          <w:tcPr>
            <w:tcW w:w="5524" w:type="dxa"/>
            <w:gridSpan w:val="3"/>
            <w:shd w:val="clear" w:color="auto" w:fill="D9D9D9" w:themeFill="background1" w:themeFillShade="D9"/>
            <w:vAlign w:val="center"/>
          </w:tcPr>
          <w:p w:rsidR="0045532B" w:rsidRPr="001344D6" w:rsidRDefault="0045532B" w:rsidP="006812D1">
            <w:pPr>
              <w:rPr>
                <w:rFonts w:ascii="Times New Roman" w:hAnsi="Times New Roman" w:cs="Times New Roman"/>
                <w:b/>
              </w:rPr>
            </w:pPr>
            <w:r w:rsidRPr="001344D6">
              <w:rPr>
                <w:rFonts w:ascii="Times New Roman" w:eastAsia="Times New Roman" w:hAnsi="Times New Roman" w:cs="Times New Roman"/>
                <w:b/>
                <w:bCs/>
                <w:color w:val="000000" w:themeColor="text1"/>
                <w:sz w:val="18"/>
                <w:szCs w:val="20"/>
              </w:rPr>
              <w:t>A+B+C: Cena brutto oferty</w:t>
            </w:r>
            <w:r>
              <w:rPr>
                <w:rFonts w:ascii="Times New Roman" w:eastAsia="Times New Roman" w:hAnsi="Times New Roman" w:cs="Times New Roman"/>
                <w:b/>
                <w:bCs/>
                <w:color w:val="000000" w:themeColor="text1"/>
                <w:sz w:val="18"/>
                <w:szCs w:val="20"/>
              </w:rPr>
              <w:t xml:space="preserve"> (zł)</w:t>
            </w:r>
          </w:p>
        </w:tc>
        <w:tc>
          <w:tcPr>
            <w:tcW w:w="5528" w:type="dxa"/>
            <w:shd w:val="clear" w:color="auto" w:fill="D9D9D9" w:themeFill="background1" w:themeFillShade="D9"/>
          </w:tcPr>
          <w:p w:rsidR="0045532B" w:rsidRPr="00B05261" w:rsidRDefault="0045532B" w:rsidP="006812D1">
            <w:pPr>
              <w:rPr>
                <w:rFonts w:ascii="Times New Roman" w:hAnsi="Times New Roman" w:cs="Times New Roman"/>
              </w:rPr>
            </w:pPr>
          </w:p>
        </w:tc>
      </w:tr>
    </w:tbl>
    <w:p w:rsidR="00023411" w:rsidRDefault="0045532B" w:rsidP="0045532B">
      <w:pPr>
        <w:spacing w:after="0" w:line="288" w:lineRule="auto"/>
        <w:ind w:firstLine="142"/>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 xml:space="preserve"> </w:t>
      </w:r>
    </w:p>
    <w:p w:rsidR="0045532B" w:rsidRPr="0045532B" w:rsidRDefault="0045532B" w:rsidP="0045532B">
      <w:pPr>
        <w:spacing w:after="0" w:line="288" w:lineRule="auto"/>
        <w:ind w:firstLine="142"/>
        <w:rPr>
          <w:rFonts w:ascii="Times New Roman" w:eastAsia="Times New Roman" w:hAnsi="Times New Roman" w:cs="Times New Roman"/>
          <w:b/>
          <w:bCs/>
          <w:color w:val="000000" w:themeColor="text1"/>
          <w:sz w:val="20"/>
          <w:szCs w:val="20"/>
        </w:rPr>
      </w:pPr>
    </w:p>
    <w:p w:rsidR="00023411" w:rsidRPr="002C0BAD" w:rsidRDefault="00023411" w:rsidP="00023411">
      <w:pPr>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PARAMETRY TECHNICZNE I EKSPLOATACYJNE</w:t>
      </w:r>
    </w:p>
    <w:tbl>
      <w:tblPr>
        <w:tblStyle w:val="Tabela-Siatka"/>
        <w:tblW w:w="0" w:type="auto"/>
        <w:tblInd w:w="-147" w:type="dxa"/>
        <w:tblLayout w:type="fixed"/>
        <w:tblLook w:val="04A0" w:firstRow="1" w:lastRow="0" w:firstColumn="1" w:lastColumn="0" w:noHBand="0" w:noVBand="1"/>
      </w:tblPr>
      <w:tblGrid>
        <w:gridCol w:w="450"/>
        <w:gridCol w:w="5646"/>
        <w:gridCol w:w="1559"/>
        <w:gridCol w:w="3686"/>
        <w:gridCol w:w="2800"/>
      </w:tblGrid>
      <w:tr w:rsidR="002C0BAD" w:rsidRPr="002C0BAD" w:rsidTr="00023411">
        <w:tc>
          <w:tcPr>
            <w:tcW w:w="450"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l.p.</w:t>
            </w:r>
          </w:p>
        </w:tc>
        <w:tc>
          <w:tcPr>
            <w:tcW w:w="5646"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w:t>
            </w:r>
          </w:p>
        </w:tc>
        <w:tc>
          <w:tcPr>
            <w:tcW w:w="1559"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 wymagany</w:t>
            </w:r>
          </w:p>
        </w:tc>
        <w:tc>
          <w:tcPr>
            <w:tcW w:w="3686"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Parametr oferowany</w:t>
            </w:r>
          </w:p>
        </w:tc>
        <w:tc>
          <w:tcPr>
            <w:tcW w:w="2800"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Ocena pkt.</w:t>
            </w:r>
          </w:p>
        </w:tc>
      </w:tr>
      <w:tr w:rsidR="002C0BAD" w:rsidRPr="002C0BAD" w:rsidTr="00023411">
        <w:tc>
          <w:tcPr>
            <w:tcW w:w="450" w:type="dxa"/>
            <w:shd w:val="clear" w:color="auto" w:fill="E7E6E6" w:themeFill="background2"/>
          </w:tcPr>
          <w:p w:rsidR="00023411" w:rsidRPr="002C0BAD" w:rsidRDefault="00023411" w:rsidP="00887E99">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 xml:space="preserve">SYSTEM ENDOSKOPOWY (tor wizyjny + osprzęt) – </w:t>
            </w:r>
            <w:r w:rsidR="00887E99" w:rsidRPr="002C0BAD">
              <w:rPr>
                <w:rFonts w:ascii="Times New Roman" w:hAnsi="Times New Roman" w:cs="Times New Roman"/>
                <w:b/>
                <w:color w:val="000000" w:themeColor="text1"/>
                <w:sz w:val="20"/>
                <w:szCs w:val="20"/>
              </w:rPr>
              <w:t>2 komplety</w:t>
            </w:r>
          </w:p>
        </w:tc>
        <w:tc>
          <w:tcPr>
            <w:tcW w:w="1559"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r>
      <w:tr w:rsidR="002C0BAD" w:rsidRPr="002C0BAD" w:rsidTr="00023411">
        <w:tc>
          <w:tcPr>
            <w:tcW w:w="450" w:type="dxa"/>
          </w:tcPr>
          <w:p w:rsidR="00023411" w:rsidRPr="002C0BAD" w:rsidRDefault="00023411" w:rsidP="00887E99">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tcPr>
          <w:p w:rsidR="00023411" w:rsidRPr="002C0BAD" w:rsidRDefault="00023411" w:rsidP="00887E99">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Wymagania minimalne:</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wideoprocesor</w:t>
            </w:r>
            <w:proofErr w:type="spellEnd"/>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procesor wideo wysokiej rozdzielczości 1080P</w:t>
            </w:r>
          </w:p>
          <w:p w:rsidR="00023411" w:rsidRPr="002C0BAD" w:rsidRDefault="0097628B"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obrazowania w wąskim paś</w:t>
            </w:r>
            <w:r w:rsidR="00023411" w:rsidRPr="002C0BAD">
              <w:rPr>
                <w:rFonts w:ascii="Times New Roman" w:hAnsi="Times New Roman" w:cs="Times New Roman"/>
                <w:color w:val="000000" w:themeColor="text1"/>
                <w:sz w:val="20"/>
                <w:szCs w:val="20"/>
              </w:rPr>
              <w:t>mie światła realizowana metodą optyczno-cyfrową</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wstępnego zamrożenia obrazu, pozwalająca otrzymać lepszej jakości zdjęć.</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funkcja redukcji szumów trój-wymiarową, odpowiedz</w:t>
            </w:r>
            <w:r w:rsidR="0097628B" w:rsidRPr="002C0BAD">
              <w:rPr>
                <w:rFonts w:ascii="Times New Roman" w:hAnsi="Times New Roman" w:cs="Times New Roman"/>
                <w:color w:val="000000" w:themeColor="text1"/>
                <w:sz w:val="20"/>
                <w:szCs w:val="20"/>
              </w:rPr>
              <w:t>i</w:t>
            </w:r>
            <w:r w:rsidRPr="002C0BAD">
              <w:rPr>
                <w:rFonts w:ascii="Times New Roman" w:hAnsi="Times New Roman" w:cs="Times New Roman"/>
                <w:color w:val="000000" w:themeColor="text1"/>
                <w:sz w:val="20"/>
                <w:szCs w:val="20"/>
              </w:rPr>
              <w:t>alną za lepszą jakość obrazu szczególnie podczas wykorzystania funkcję obrazowania w wąskim pa</w:t>
            </w:r>
            <w:r w:rsidR="008A15B8" w:rsidRPr="002C0BAD">
              <w:rPr>
                <w:rFonts w:ascii="Times New Roman" w:hAnsi="Times New Roman" w:cs="Times New Roman"/>
                <w:color w:val="000000" w:themeColor="text1"/>
                <w:sz w:val="20"/>
                <w:szCs w:val="20"/>
              </w:rPr>
              <w:t>ś</w:t>
            </w:r>
            <w:r w:rsidRPr="002C0BAD">
              <w:rPr>
                <w:rFonts w:ascii="Times New Roman" w:hAnsi="Times New Roman" w:cs="Times New Roman"/>
                <w:color w:val="000000" w:themeColor="text1"/>
                <w:sz w:val="20"/>
                <w:szCs w:val="20"/>
              </w:rPr>
              <w:t>mie światła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w:t>
            </w:r>
            <w:r w:rsidR="0097628B" w:rsidRPr="002C0BAD">
              <w:rPr>
                <w:rFonts w:ascii="Times New Roman" w:hAnsi="Times New Roman" w:cs="Times New Roman"/>
                <w:color w:val="000000" w:themeColor="text1"/>
                <w:sz w:val="20"/>
                <w:szCs w:val="20"/>
              </w:rPr>
              <w:t>ożliwość podłączenia zewnętrze ź</w:t>
            </w:r>
            <w:r w:rsidRPr="002C0BAD">
              <w:rPr>
                <w:rFonts w:ascii="Times New Roman" w:hAnsi="Times New Roman" w:cs="Times New Roman"/>
                <w:color w:val="000000" w:themeColor="text1"/>
                <w:sz w:val="20"/>
                <w:szCs w:val="20"/>
              </w:rPr>
              <w:t>ródła obrazu ja</w:t>
            </w:r>
            <w:r w:rsidR="008445DE" w:rsidRPr="002C0BAD">
              <w:rPr>
                <w:rFonts w:ascii="Times New Roman" w:hAnsi="Times New Roman" w:cs="Times New Roman"/>
                <w:color w:val="000000" w:themeColor="text1"/>
                <w:sz w:val="20"/>
                <w:szCs w:val="20"/>
              </w:rPr>
              <w:t>k np. z</w:t>
            </w:r>
            <w:r w:rsidRPr="002C0BAD">
              <w:rPr>
                <w:rFonts w:ascii="Times New Roman" w:hAnsi="Times New Roman" w:cs="Times New Roman"/>
                <w:color w:val="000000" w:themeColor="text1"/>
                <w:sz w:val="20"/>
                <w:szCs w:val="20"/>
              </w:rPr>
              <w:t xml:space="preserve"> endoskopowego procesora ultrasonograficznego do procesora wideo i wyświetlenia go jednocześnie z obrazem endoskopowym.</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podłączenia głowic kamery SD oraz HD do endoskopów sztywnych.</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podłączenia endoskopów urologicznych, laryngologicznych, laparoskopowych</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menu funkcyjne (ustawień) oraz komunikaty procesora wyświetlane w</w:t>
            </w:r>
            <w:r w:rsidR="008A15B8" w:rsidRPr="002C0BAD">
              <w:rPr>
                <w:rFonts w:ascii="Times New Roman" w:hAnsi="Times New Roman" w:cs="Times New Roman"/>
                <w:color w:val="000000" w:themeColor="text1"/>
                <w:sz w:val="20"/>
                <w:szCs w:val="20"/>
              </w:rPr>
              <w:t xml:space="preserve"> </w:t>
            </w:r>
            <w:r w:rsidRPr="002C0BAD">
              <w:rPr>
                <w:rFonts w:ascii="Times New Roman" w:hAnsi="Times New Roman" w:cs="Times New Roman"/>
                <w:color w:val="000000" w:themeColor="text1"/>
                <w:sz w:val="20"/>
                <w:szCs w:val="20"/>
              </w:rPr>
              <w:t>języku polskim</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polskie czcionki komunikatów procesora </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opisu ba</w:t>
            </w:r>
            <w:r w:rsidR="00CC4563" w:rsidRPr="002C0BAD">
              <w:rPr>
                <w:rFonts w:ascii="Times New Roman" w:hAnsi="Times New Roman" w:cs="Times New Roman"/>
                <w:color w:val="000000" w:themeColor="text1"/>
                <w:sz w:val="20"/>
                <w:szCs w:val="20"/>
              </w:rPr>
              <w:t>dania i danych pacjenta z klawia</w:t>
            </w:r>
            <w:r w:rsidRPr="002C0BAD">
              <w:rPr>
                <w:rFonts w:ascii="Times New Roman" w:hAnsi="Times New Roman" w:cs="Times New Roman"/>
                <w:color w:val="000000" w:themeColor="text1"/>
                <w:sz w:val="20"/>
                <w:szCs w:val="20"/>
              </w:rPr>
              <w:t>tury procesora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wyostrzenie obrazu w trakcie badania – 27 poziomów</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procesor kompatybilny z różnymi typami przyłączy endoskopów</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konwerter złącz z przewodem do podłączenia do </w:t>
            </w:r>
            <w:proofErr w:type="spellStart"/>
            <w:r w:rsidRPr="002C0BAD">
              <w:rPr>
                <w:rFonts w:ascii="Times New Roman" w:hAnsi="Times New Roman" w:cs="Times New Roman"/>
                <w:color w:val="000000" w:themeColor="text1"/>
                <w:sz w:val="20"/>
                <w:szCs w:val="20"/>
              </w:rPr>
              <w:t>wideoprocesora</w:t>
            </w:r>
            <w:proofErr w:type="spellEnd"/>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źródło światła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źródło światła LED</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automatyczna lub ręczna regulacja mocy wyjściowej, zapewniającą dobrego oświetlenia polu widzenia niezależnie od modelu endoskopu </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 xml:space="preserve">dostępny tryb oświetlenia </w:t>
            </w:r>
            <w:proofErr w:type="spellStart"/>
            <w:r w:rsidRPr="002C0BAD">
              <w:rPr>
                <w:rFonts w:ascii="Times New Roman" w:hAnsi="Times New Roman" w:cs="Times New Roman"/>
                <w:color w:val="000000" w:themeColor="text1"/>
                <w:sz w:val="20"/>
                <w:szCs w:val="20"/>
              </w:rPr>
              <w:t>transiluminacyjnego</w:t>
            </w:r>
            <w:proofErr w:type="spellEnd"/>
            <w:r w:rsidRPr="002C0BAD">
              <w:rPr>
                <w:rFonts w:ascii="Times New Roman" w:hAnsi="Times New Roman" w:cs="Times New Roman"/>
                <w:color w:val="000000" w:themeColor="text1"/>
                <w:sz w:val="20"/>
                <w:szCs w:val="20"/>
              </w:rPr>
              <w:t xml:space="preserve">, pozwalający na łatwe wytwarzanie </w:t>
            </w:r>
            <w:proofErr w:type="spellStart"/>
            <w:r w:rsidRPr="002C0BAD">
              <w:rPr>
                <w:rFonts w:ascii="Times New Roman" w:hAnsi="Times New Roman" w:cs="Times New Roman"/>
                <w:color w:val="000000" w:themeColor="text1"/>
                <w:sz w:val="20"/>
                <w:szCs w:val="20"/>
              </w:rPr>
              <w:t>gastrostromii</w:t>
            </w:r>
            <w:proofErr w:type="spellEnd"/>
            <w:r w:rsidRPr="002C0BAD">
              <w:rPr>
                <w:rFonts w:ascii="Times New Roman" w:hAnsi="Times New Roman" w:cs="Times New Roman"/>
                <w:color w:val="000000" w:themeColor="text1"/>
                <w:sz w:val="20"/>
                <w:szCs w:val="20"/>
              </w:rPr>
              <w:t xml:space="preserve"> endoskopowej</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wyposażone w filtr poz</w:t>
            </w:r>
            <w:r w:rsidR="00502B87" w:rsidRPr="002C0BAD">
              <w:rPr>
                <w:rFonts w:ascii="Times New Roman" w:hAnsi="Times New Roman" w:cs="Times New Roman"/>
                <w:color w:val="000000" w:themeColor="text1"/>
                <w:sz w:val="20"/>
                <w:szCs w:val="20"/>
              </w:rPr>
              <w:t>walającym obrazować w wąskim paś</w:t>
            </w:r>
            <w:r w:rsidRPr="002C0BAD">
              <w:rPr>
                <w:rFonts w:ascii="Times New Roman" w:hAnsi="Times New Roman" w:cs="Times New Roman"/>
                <w:color w:val="000000" w:themeColor="text1"/>
                <w:sz w:val="20"/>
                <w:szCs w:val="20"/>
              </w:rPr>
              <w:t>mie światła, aby umożliwić dokładniejszą obserwację zmian nowotworowych</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zintegrowana pompa powietrzna, z regulacją przepływu poprzez przycisków na froncie urządzenia.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monitor</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monitor medyczny HD 1080 o przekątnej min. 25 cali, z funkcjami ulepszenia obrazu.</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Clone Out umożliwiająca wysyłanie obrazu PIP i POP na wyjściu monitora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wózek endoskopowy</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wózek endoskopowy z ruchomym ramieniem na monitor, podwójny uchwyt na endoskopy, szufladę na klawiaturę oraz półkę boczną na </w:t>
            </w:r>
            <w:proofErr w:type="spellStart"/>
            <w:r w:rsidRPr="002C0BAD">
              <w:rPr>
                <w:rFonts w:ascii="Times New Roman" w:hAnsi="Times New Roman" w:cs="Times New Roman"/>
                <w:color w:val="000000" w:themeColor="text1"/>
                <w:sz w:val="20"/>
                <w:szCs w:val="20"/>
              </w:rPr>
              <w:t>insuflatora</w:t>
            </w:r>
            <w:proofErr w:type="spellEnd"/>
            <w:r w:rsidRPr="002C0BAD">
              <w:rPr>
                <w:rFonts w:ascii="Times New Roman" w:hAnsi="Times New Roman" w:cs="Times New Roman"/>
                <w:color w:val="000000" w:themeColor="text1"/>
                <w:sz w:val="20"/>
                <w:szCs w:val="20"/>
              </w:rPr>
              <w:t xml:space="preserve"> CO2</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wyposażenie :</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pojemnik uniwersalny wózka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uchwyt butli CO2</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półka boczna do </w:t>
            </w:r>
            <w:proofErr w:type="spellStart"/>
            <w:r w:rsidRPr="002C0BAD">
              <w:rPr>
                <w:rFonts w:ascii="Times New Roman" w:hAnsi="Times New Roman" w:cs="Times New Roman"/>
                <w:color w:val="000000" w:themeColor="text1"/>
                <w:sz w:val="20"/>
                <w:szCs w:val="20"/>
              </w:rPr>
              <w:t>insuflatora</w:t>
            </w:r>
            <w:proofErr w:type="spellEnd"/>
            <w:r w:rsidRPr="002C0BAD">
              <w:rPr>
                <w:rFonts w:ascii="Times New Roman" w:hAnsi="Times New Roman" w:cs="Times New Roman"/>
                <w:color w:val="000000" w:themeColor="text1"/>
                <w:sz w:val="20"/>
                <w:szCs w:val="20"/>
              </w:rPr>
              <w:t xml:space="preserve"> CO2</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reling boczny do pojemników ssaka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insuflator</w:t>
            </w:r>
            <w:proofErr w:type="spellEnd"/>
            <w:r w:rsidRPr="002C0BAD">
              <w:rPr>
                <w:rFonts w:ascii="Times New Roman" w:hAnsi="Times New Roman" w:cs="Times New Roman"/>
                <w:color w:val="000000" w:themeColor="text1"/>
                <w:sz w:val="20"/>
                <w:szCs w:val="20"/>
              </w:rPr>
              <w:t xml:space="preserve"> CO2</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insuflator</w:t>
            </w:r>
            <w:proofErr w:type="spellEnd"/>
            <w:r w:rsidRPr="002C0BAD">
              <w:rPr>
                <w:rFonts w:ascii="Times New Roman" w:hAnsi="Times New Roman" w:cs="Times New Roman"/>
                <w:color w:val="000000" w:themeColor="text1"/>
                <w:sz w:val="20"/>
                <w:szCs w:val="20"/>
              </w:rPr>
              <w:t xml:space="preserve"> dwutlenku węgla, zapewniającym szybką </w:t>
            </w:r>
            <w:proofErr w:type="spellStart"/>
            <w:r w:rsidRPr="002C0BAD">
              <w:rPr>
                <w:rFonts w:ascii="Times New Roman" w:hAnsi="Times New Roman" w:cs="Times New Roman"/>
                <w:color w:val="000000" w:themeColor="text1"/>
                <w:sz w:val="20"/>
                <w:szCs w:val="20"/>
              </w:rPr>
              <w:t>rezorpcję</w:t>
            </w:r>
            <w:proofErr w:type="spellEnd"/>
            <w:r w:rsidRPr="002C0BAD">
              <w:rPr>
                <w:rFonts w:ascii="Times New Roman" w:hAnsi="Times New Roman" w:cs="Times New Roman"/>
                <w:color w:val="000000" w:themeColor="text1"/>
                <w:sz w:val="20"/>
                <w:szCs w:val="20"/>
              </w:rPr>
              <w:t xml:space="preserve"> gazu w jelitach i tym samym zmniejszanie b</w:t>
            </w:r>
            <w:r w:rsidR="004360E3" w:rsidRPr="002C0BAD">
              <w:rPr>
                <w:rFonts w:ascii="Times New Roman" w:hAnsi="Times New Roman" w:cs="Times New Roman"/>
                <w:color w:val="000000" w:themeColor="text1"/>
                <w:sz w:val="20"/>
                <w:szCs w:val="20"/>
              </w:rPr>
              <w:t>ó</w:t>
            </w:r>
            <w:r w:rsidRPr="002C0BAD">
              <w:rPr>
                <w:rFonts w:ascii="Times New Roman" w:hAnsi="Times New Roman" w:cs="Times New Roman"/>
                <w:color w:val="000000" w:themeColor="text1"/>
                <w:sz w:val="20"/>
                <w:szCs w:val="20"/>
              </w:rPr>
              <w:t xml:space="preserve">lu </w:t>
            </w:r>
            <w:proofErr w:type="spellStart"/>
            <w:r w:rsidRPr="002C0BAD">
              <w:rPr>
                <w:rFonts w:ascii="Times New Roman" w:hAnsi="Times New Roman" w:cs="Times New Roman"/>
                <w:color w:val="000000" w:themeColor="text1"/>
                <w:sz w:val="20"/>
                <w:szCs w:val="20"/>
              </w:rPr>
              <w:t>pozabiegowego</w:t>
            </w:r>
            <w:proofErr w:type="spellEnd"/>
            <w:r w:rsidRPr="002C0BAD">
              <w:rPr>
                <w:rFonts w:ascii="Times New Roman" w:hAnsi="Times New Roman" w:cs="Times New Roman"/>
                <w:color w:val="000000" w:themeColor="text1"/>
                <w:sz w:val="20"/>
                <w:szCs w:val="20"/>
              </w:rPr>
              <w:t xml:space="preserve"> u pacjenta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zawór CO2/woda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przewód wysokociśnieniowy</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rurka szybkiego przepływu CO2</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sterowania </w:t>
            </w:r>
            <w:proofErr w:type="spellStart"/>
            <w:r w:rsidRPr="002C0BAD">
              <w:rPr>
                <w:rFonts w:ascii="Times New Roman" w:hAnsi="Times New Roman" w:cs="Times New Roman"/>
                <w:color w:val="000000" w:themeColor="text1"/>
                <w:sz w:val="20"/>
                <w:szCs w:val="20"/>
              </w:rPr>
              <w:t>insuflatorem</w:t>
            </w:r>
            <w:proofErr w:type="spellEnd"/>
            <w:r w:rsidRPr="002C0BAD">
              <w:rPr>
                <w:rFonts w:ascii="Times New Roman" w:hAnsi="Times New Roman" w:cs="Times New Roman"/>
                <w:color w:val="000000" w:themeColor="text1"/>
                <w:sz w:val="20"/>
                <w:szCs w:val="20"/>
              </w:rPr>
              <w:t xml:space="preserve"> przez </w:t>
            </w:r>
            <w:proofErr w:type="spellStart"/>
            <w:r w:rsidRPr="002C0BAD">
              <w:rPr>
                <w:rFonts w:ascii="Times New Roman" w:hAnsi="Times New Roman" w:cs="Times New Roman"/>
                <w:color w:val="000000" w:themeColor="text1"/>
                <w:sz w:val="20"/>
                <w:szCs w:val="20"/>
              </w:rPr>
              <w:t>wideoprocesor</w:t>
            </w:r>
            <w:proofErr w:type="spellEnd"/>
            <w:r w:rsidRPr="002C0BAD">
              <w:rPr>
                <w:rFonts w:ascii="Times New Roman" w:hAnsi="Times New Roman" w:cs="Times New Roman"/>
                <w:color w:val="000000" w:themeColor="text1"/>
                <w:sz w:val="20"/>
                <w:szCs w:val="20"/>
              </w:rPr>
              <w:t>/źródło światła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pompa płucząca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pompa płucząca endoskopowa, z dużym, </w:t>
            </w:r>
            <w:proofErr w:type="spellStart"/>
            <w:r w:rsidRPr="002C0BAD">
              <w:rPr>
                <w:rFonts w:ascii="Times New Roman" w:hAnsi="Times New Roman" w:cs="Times New Roman"/>
                <w:color w:val="000000" w:themeColor="text1"/>
                <w:sz w:val="20"/>
                <w:szCs w:val="20"/>
              </w:rPr>
              <w:t>autoklawowalnym</w:t>
            </w:r>
            <w:proofErr w:type="spellEnd"/>
            <w:r w:rsidRPr="002C0BAD">
              <w:rPr>
                <w:rFonts w:ascii="Times New Roman" w:hAnsi="Times New Roman" w:cs="Times New Roman"/>
                <w:color w:val="000000" w:themeColor="text1"/>
                <w:sz w:val="20"/>
                <w:szCs w:val="20"/>
              </w:rPr>
              <w:t xml:space="preserve"> 2L pojemnikiem na wody sterylnej</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sterowania pompy za pomocą przycisku nożnego oraz bezp</w:t>
            </w:r>
            <w:r w:rsidR="00C35682" w:rsidRPr="002C0BAD">
              <w:rPr>
                <w:rFonts w:ascii="Times New Roman" w:hAnsi="Times New Roman" w:cs="Times New Roman"/>
                <w:color w:val="000000" w:themeColor="text1"/>
                <w:sz w:val="20"/>
                <w:szCs w:val="20"/>
              </w:rPr>
              <w:t>ośrednio z przycisków rękojeś</w:t>
            </w:r>
            <w:r w:rsidRPr="002C0BAD">
              <w:rPr>
                <w:rFonts w:ascii="Times New Roman" w:hAnsi="Times New Roman" w:cs="Times New Roman"/>
                <w:color w:val="000000" w:themeColor="text1"/>
                <w:sz w:val="20"/>
                <w:szCs w:val="20"/>
              </w:rPr>
              <w:t>ci endoskopu, upraszczając obsługę przez operatora.</w:t>
            </w:r>
          </w:p>
          <w:p w:rsidR="00023411" w:rsidRPr="002C0BAD" w:rsidRDefault="00023411" w:rsidP="00887E99">
            <w:pPr>
              <w:pStyle w:val="Akapitzlist"/>
              <w:numPr>
                <w:ilvl w:val="0"/>
                <w:numId w:val="1"/>
              </w:num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zestaw drenów - 1 op.</w:t>
            </w:r>
          </w:p>
          <w:p w:rsidR="00023411" w:rsidRPr="002C0BAD" w:rsidRDefault="00023411" w:rsidP="00887E99">
            <w:pPr>
              <w:pStyle w:val="Akapitzlist"/>
              <w:numPr>
                <w:ilvl w:val="0"/>
                <w:numId w:val="1"/>
              </w:numPr>
              <w:spacing w:line="288" w:lineRule="auto"/>
              <w:jc w:val="both"/>
              <w:rPr>
                <w:rFonts w:ascii="Times New Roman" w:hAnsi="Times New Roman" w:cs="Times New Roman"/>
                <w:b/>
                <w:bCs/>
                <w:color w:val="000000" w:themeColor="text1"/>
                <w:sz w:val="20"/>
                <w:szCs w:val="20"/>
              </w:rPr>
            </w:pPr>
            <w:r w:rsidRPr="002C0BAD">
              <w:rPr>
                <w:rFonts w:ascii="Times New Roman" w:hAnsi="Times New Roman" w:cs="Times New Roman"/>
                <w:color w:val="000000" w:themeColor="text1"/>
                <w:sz w:val="20"/>
                <w:szCs w:val="20"/>
              </w:rPr>
              <w:t xml:space="preserve">przewód do sterowania pompą przez </w:t>
            </w:r>
            <w:proofErr w:type="spellStart"/>
            <w:r w:rsidRPr="002C0BAD">
              <w:rPr>
                <w:rFonts w:ascii="Times New Roman" w:hAnsi="Times New Roman" w:cs="Times New Roman"/>
                <w:color w:val="000000" w:themeColor="text1"/>
                <w:sz w:val="20"/>
                <w:szCs w:val="20"/>
              </w:rPr>
              <w:t>wideoprocesor</w:t>
            </w:r>
            <w:proofErr w:type="spellEnd"/>
          </w:p>
          <w:p w:rsidR="00023411" w:rsidRPr="002C0BAD" w:rsidRDefault="00023411" w:rsidP="00887E99">
            <w:pPr>
              <w:spacing w:line="288" w:lineRule="auto"/>
              <w:rPr>
                <w:rFonts w:ascii="Times New Roman" w:hAnsi="Times New Roman" w:cs="Times New Roman"/>
                <w:b/>
                <w:color w:val="000000" w:themeColor="text1"/>
                <w:sz w:val="20"/>
                <w:szCs w:val="20"/>
              </w:rPr>
            </w:pPr>
          </w:p>
        </w:tc>
        <w:tc>
          <w:tcPr>
            <w:tcW w:w="1559" w:type="dxa"/>
            <w:vAlign w:val="bottom"/>
          </w:tcPr>
          <w:p w:rsidR="00023411" w:rsidRPr="002C0BAD" w:rsidRDefault="00023411"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w:t>
            </w:r>
          </w:p>
        </w:tc>
        <w:tc>
          <w:tcPr>
            <w:tcW w:w="3686" w:type="dxa"/>
          </w:tcPr>
          <w:p w:rsidR="00023411" w:rsidRPr="002C0BAD" w:rsidRDefault="00023411" w:rsidP="00887E99">
            <w:pPr>
              <w:spacing w:line="288" w:lineRule="auto"/>
              <w:rPr>
                <w:rFonts w:ascii="Times New Roman" w:hAnsi="Times New Roman" w:cs="Times New Roman"/>
                <w:color w:val="000000" w:themeColor="text1"/>
                <w:sz w:val="20"/>
                <w:szCs w:val="20"/>
              </w:rPr>
            </w:pPr>
          </w:p>
        </w:tc>
        <w:tc>
          <w:tcPr>
            <w:tcW w:w="2800"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023411" w:rsidRPr="002C0BAD" w:rsidRDefault="00023411"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Uwaga –dla wszystkich podanych niżej rozmiarów geometrycznych narzędzi dopuszcza się tolerancję +/- 2 [%]</w:t>
            </w:r>
          </w:p>
        </w:tc>
        <w:tc>
          <w:tcPr>
            <w:tcW w:w="1559" w:type="dxa"/>
            <w:vAlign w:val="bottom"/>
          </w:tcPr>
          <w:p w:rsidR="00023411" w:rsidRPr="002C0BAD" w:rsidRDefault="00023411"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023411" w:rsidRPr="002C0BAD" w:rsidRDefault="00023411" w:rsidP="00887E99">
            <w:pPr>
              <w:spacing w:line="288" w:lineRule="auto"/>
              <w:rPr>
                <w:rFonts w:ascii="Times New Roman" w:hAnsi="Times New Roman" w:cs="Times New Roman"/>
                <w:color w:val="000000" w:themeColor="text1"/>
                <w:sz w:val="20"/>
                <w:szCs w:val="20"/>
              </w:rPr>
            </w:pPr>
          </w:p>
        </w:tc>
        <w:tc>
          <w:tcPr>
            <w:tcW w:w="2800"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023411" w:rsidRPr="002C0BAD" w:rsidRDefault="00023411"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Zabezpieczenie połączeń mechanicznych okablowania wież z panelami zasilającymi</w:t>
            </w:r>
          </w:p>
        </w:tc>
        <w:tc>
          <w:tcPr>
            <w:tcW w:w="1559" w:type="dxa"/>
            <w:vAlign w:val="bottom"/>
          </w:tcPr>
          <w:p w:rsidR="00023411" w:rsidRPr="002C0BAD" w:rsidRDefault="00023411"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023411" w:rsidRPr="002C0BAD" w:rsidRDefault="00023411" w:rsidP="00887E99">
            <w:pPr>
              <w:spacing w:line="288" w:lineRule="auto"/>
              <w:rPr>
                <w:rFonts w:ascii="Times New Roman" w:hAnsi="Times New Roman" w:cs="Times New Roman"/>
                <w:color w:val="000000" w:themeColor="text1"/>
                <w:sz w:val="20"/>
                <w:szCs w:val="20"/>
              </w:rPr>
            </w:pPr>
          </w:p>
        </w:tc>
        <w:tc>
          <w:tcPr>
            <w:tcW w:w="2800" w:type="dxa"/>
          </w:tcPr>
          <w:p w:rsidR="00023411" w:rsidRPr="002C0BAD" w:rsidRDefault="00023411"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shd w:val="clear" w:color="auto" w:fill="E7E6E6" w:themeFill="background2"/>
          </w:tcPr>
          <w:p w:rsidR="00023411" w:rsidRPr="002C0BAD" w:rsidRDefault="00023411" w:rsidP="00887E99">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SYSTEM ENDOSKOPOWY NR 1</w:t>
            </w:r>
          </w:p>
        </w:tc>
        <w:tc>
          <w:tcPr>
            <w:tcW w:w="1559"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023411" w:rsidRPr="002C0BAD" w:rsidRDefault="00023411" w:rsidP="00887E99">
            <w:pPr>
              <w:spacing w:line="288" w:lineRule="auto"/>
              <w:rPr>
                <w:rFonts w:ascii="Times New Roman" w:hAnsi="Times New Roman" w:cs="Times New Roman"/>
                <w:b/>
                <w:color w:val="000000" w:themeColor="text1"/>
                <w:sz w:val="20"/>
                <w:szCs w:val="20"/>
              </w:rPr>
            </w:pPr>
          </w:p>
        </w:tc>
      </w:tr>
      <w:tr w:rsidR="002C0BAD" w:rsidRPr="002C0BAD" w:rsidTr="00887E99">
        <w:tc>
          <w:tcPr>
            <w:tcW w:w="450" w:type="dxa"/>
          </w:tcPr>
          <w:p w:rsidR="00887E99" w:rsidRPr="002C0BAD" w:rsidRDefault="00887E99"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887E99" w:rsidRPr="002C0BAD" w:rsidRDefault="00887E99" w:rsidP="00887E99">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Neurochirurgiczny tor wizyjny</w:t>
            </w:r>
          </w:p>
        </w:tc>
        <w:tc>
          <w:tcPr>
            <w:tcW w:w="1559" w:type="dxa"/>
            <w:vAlign w:val="bottom"/>
          </w:tcPr>
          <w:p w:rsidR="00887E99" w:rsidRPr="002C0BAD" w:rsidRDefault="00887E99"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887E99" w:rsidRPr="002C0BAD" w:rsidRDefault="00887E99" w:rsidP="00887E99">
            <w:pPr>
              <w:spacing w:line="288" w:lineRule="auto"/>
              <w:rPr>
                <w:rFonts w:ascii="Times New Roman" w:hAnsi="Times New Roman" w:cs="Times New Roman"/>
                <w:color w:val="000000" w:themeColor="text1"/>
                <w:sz w:val="20"/>
                <w:szCs w:val="20"/>
              </w:rPr>
            </w:pPr>
          </w:p>
        </w:tc>
        <w:tc>
          <w:tcPr>
            <w:tcW w:w="2800" w:type="dxa"/>
          </w:tcPr>
          <w:p w:rsidR="00887E99" w:rsidRPr="002C0BAD" w:rsidRDefault="00887E99"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887E99" w:rsidRPr="002C0BAD" w:rsidRDefault="00887E99"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887E99" w:rsidRPr="002C0BAD" w:rsidRDefault="00887E99" w:rsidP="00887E99">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Tor wizyjny obsługujący oba opisane poniżej zestawy osprzętu endoskopowego</w:t>
            </w:r>
          </w:p>
        </w:tc>
        <w:tc>
          <w:tcPr>
            <w:tcW w:w="1559" w:type="dxa"/>
            <w:vAlign w:val="bottom"/>
          </w:tcPr>
          <w:p w:rsidR="00887E99" w:rsidRPr="002C0BAD" w:rsidRDefault="00887E99"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887E99" w:rsidRPr="002C0BAD" w:rsidRDefault="00887E99" w:rsidP="00887E99">
            <w:pPr>
              <w:spacing w:line="288" w:lineRule="auto"/>
              <w:rPr>
                <w:rFonts w:ascii="Times New Roman" w:hAnsi="Times New Roman" w:cs="Times New Roman"/>
                <w:color w:val="000000" w:themeColor="text1"/>
                <w:sz w:val="20"/>
                <w:szCs w:val="20"/>
              </w:rPr>
            </w:pPr>
          </w:p>
        </w:tc>
        <w:tc>
          <w:tcPr>
            <w:tcW w:w="2800" w:type="dxa"/>
          </w:tcPr>
          <w:p w:rsidR="00887E99" w:rsidRPr="002C0BAD" w:rsidRDefault="00887E99"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887E99" w:rsidRPr="002C0BAD" w:rsidRDefault="00887E99"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887E99" w:rsidRPr="002C0BAD" w:rsidRDefault="00887E99" w:rsidP="00887E99">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 xml:space="preserve">Monitor 4K (min. 3840 x 2160 </w:t>
            </w:r>
            <w:r w:rsidRPr="002C0BAD">
              <w:rPr>
                <w:rFonts w:ascii="Times New Roman" w:hAnsi="Times New Roman" w:cs="Times New Roman"/>
                <w:b/>
                <w:bCs/>
                <w:color w:val="000000" w:themeColor="text1"/>
                <w:sz w:val="20"/>
                <w:szCs w:val="20"/>
              </w:rPr>
              <w:t>pikseli</w:t>
            </w:r>
            <w:r w:rsidRPr="002C0BAD">
              <w:rPr>
                <w:rFonts w:ascii="Times New Roman" w:hAnsi="Times New Roman" w:cs="Times New Roman"/>
                <w:b/>
                <w:color w:val="000000" w:themeColor="text1"/>
                <w:sz w:val="20"/>
                <w:szCs w:val="20"/>
              </w:rPr>
              <w:t xml:space="preserve"> ) - 1 szt.</w:t>
            </w:r>
          </w:p>
        </w:tc>
        <w:tc>
          <w:tcPr>
            <w:tcW w:w="1559" w:type="dxa"/>
            <w:vAlign w:val="bottom"/>
          </w:tcPr>
          <w:p w:rsidR="00887E99" w:rsidRPr="002C0BAD" w:rsidRDefault="00887E99"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887E99" w:rsidRPr="002C0BAD" w:rsidRDefault="00887E99" w:rsidP="00887E99">
            <w:pPr>
              <w:spacing w:line="288" w:lineRule="auto"/>
              <w:rPr>
                <w:rFonts w:ascii="Times New Roman" w:hAnsi="Times New Roman" w:cs="Times New Roman"/>
                <w:color w:val="000000" w:themeColor="text1"/>
                <w:sz w:val="20"/>
                <w:szCs w:val="20"/>
              </w:rPr>
            </w:pPr>
          </w:p>
        </w:tc>
        <w:tc>
          <w:tcPr>
            <w:tcW w:w="2800" w:type="dxa"/>
          </w:tcPr>
          <w:p w:rsidR="00887E99" w:rsidRPr="002C0BAD" w:rsidRDefault="00887E99"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887E99" w:rsidRPr="002C0BAD" w:rsidRDefault="00887E99"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887E99" w:rsidRPr="002C0BAD" w:rsidRDefault="00887E99" w:rsidP="00887E99">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Przekątna ekran min. 31"</w:t>
            </w:r>
          </w:p>
        </w:tc>
        <w:tc>
          <w:tcPr>
            <w:tcW w:w="1559" w:type="dxa"/>
            <w:vAlign w:val="bottom"/>
          </w:tcPr>
          <w:p w:rsidR="00887E99" w:rsidRPr="002C0BAD" w:rsidRDefault="00887E99"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r w:rsidR="00902A97" w:rsidRPr="002C0BAD">
              <w:rPr>
                <w:rFonts w:ascii="Times New Roman" w:eastAsia="Times New Roman" w:hAnsi="Times New Roman" w:cs="Times New Roman"/>
                <w:color w:val="000000" w:themeColor="text1"/>
                <w:sz w:val="20"/>
                <w:szCs w:val="20"/>
                <w:lang w:eastAsia="pl-PL"/>
              </w:rPr>
              <w:t>, podać</w:t>
            </w:r>
          </w:p>
        </w:tc>
        <w:tc>
          <w:tcPr>
            <w:tcW w:w="3686" w:type="dxa"/>
          </w:tcPr>
          <w:p w:rsidR="00887E99" w:rsidRPr="002C0BAD" w:rsidRDefault="00887E99" w:rsidP="00887E99">
            <w:pPr>
              <w:spacing w:line="288" w:lineRule="auto"/>
              <w:rPr>
                <w:rFonts w:ascii="Times New Roman" w:hAnsi="Times New Roman" w:cs="Times New Roman"/>
                <w:color w:val="000000" w:themeColor="text1"/>
                <w:sz w:val="20"/>
                <w:szCs w:val="20"/>
              </w:rPr>
            </w:pPr>
          </w:p>
        </w:tc>
        <w:tc>
          <w:tcPr>
            <w:tcW w:w="2800" w:type="dxa"/>
          </w:tcPr>
          <w:p w:rsidR="00887E99" w:rsidRPr="002C0BAD" w:rsidRDefault="00887E99"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887E99" w:rsidRPr="002C0BAD" w:rsidRDefault="00887E99" w:rsidP="00887E99">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887E99" w:rsidRPr="002C0BAD" w:rsidRDefault="00887E99" w:rsidP="00887E99">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Rozdzielczość monitora min. </w:t>
            </w:r>
            <w:r w:rsidRPr="002C0BAD">
              <w:rPr>
                <w:rFonts w:ascii="Times New Roman" w:hAnsi="Times New Roman" w:cs="Times New Roman"/>
                <w:color w:val="000000" w:themeColor="text1"/>
                <w:sz w:val="20"/>
                <w:szCs w:val="20"/>
              </w:rPr>
              <w:t xml:space="preserve">3840 x 2160 </w:t>
            </w:r>
            <w:r w:rsidRPr="002C0BAD">
              <w:rPr>
                <w:rFonts w:ascii="Times New Roman" w:hAnsi="Times New Roman" w:cs="Times New Roman"/>
                <w:bCs/>
                <w:color w:val="000000" w:themeColor="text1"/>
                <w:sz w:val="20"/>
                <w:szCs w:val="20"/>
              </w:rPr>
              <w:t>pikseli</w:t>
            </w:r>
          </w:p>
        </w:tc>
        <w:tc>
          <w:tcPr>
            <w:tcW w:w="1559" w:type="dxa"/>
            <w:vAlign w:val="bottom"/>
          </w:tcPr>
          <w:p w:rsidR="00887E99" w:rsidRPr="002C0BAD" w:rsidRDefault="00902A97" w:rsidP="00887E99">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887E99" w:rsidRPr="002C0BAD" w:rsidRDefault="00887E99" w:rsidP="00887E99">
            <w:pPr>
              <w:spacing w:line="288" w:lineRule="auto"/>
              <w:rPr>
                <w:rFonts w:ascii="Times New Roman" w:hAnsi="Times New Roman" w:cs="Times New Roman"/>
                <w:color w:val="000000" w:themeColor="text1"/>
                <w:sz w:val="20"/>
                <w:szCs w:val="20"/>
              </w:rPr>
            </w:pPr>
          </w:p>
        </w:tc>
        <w:tc>
          <w:tcPr>
            <w:tcW w:w="2800" w:type="dxa"/>
          </w:tcPr>
          <w:p w:rsidR="00887E99" w:rsidRPr="002C0BAD" w:rsidRDefault="00887E99" w:rsidP="00887E99">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Cyfrowe wejścia wideo min.: 1x </w:t>
            </w:r>
            <w:r w:rsidRPr="002C0BAD">
              <w:rPr>
                <w:rFonts w:ascii="Times New Roman" w:hAnsi="Times New Roman" w:cs="Times New Roman"/>
                <w:color w:val="000000" w:themeColor="text1"/>
                <w:sz w:val="20"/>
                <w:szCs w:val="20"/>
              </w:rPr>
              <w:t>Display Port, 1x 12G/3G - SDI, 1x DVI-D</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Cyfrowe wyjścia wideo min.: 1x </w:t>
            </w:r>
            <w:r w:rsidRPr="002C0BAD">
              <w:rPr>
                <w:rFonts w:ascii="Times New Roman" w:hAnsi="Times New Roman" w:cs="Times New Roman"/>
                <w:color w:val="000000" w:themeColor="text1"/>
                <w:sz w:val="20"/>
                <w:szCs w:val="20"/>
              </w:rPr>
              <w:t>12G/3G - SDI, 1x DVI-D</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Sterownik kamery 4K - 1 zestaw</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Sterownik kamery pracujący w technologii 4K min. 3840 x 2160 pikseli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Sterownik kamery wyposażony w cyfrowe wyjścia wideo: </w:t>
            </w:r>
          </w:p>
          <w:p w:rsidR="00902A97" w:rsidRPr="002C0BAD" w:rsidRDefault="00902A97" w:rsidP="00902A97">
            <w:pPr>
              <w:spacing w:before="60" w:after="60" w:line="288" w:lineRule="auto"/>
              <w:rPr>
                <w:rFonts w:ascii="Times New Roman" w:hAnsi="Times New Roman" w:cs="Times New Roman"/>
                <w:color w:val="000000" w:themeColor="text1"/>
                <w:sz w:val="20"/>
                <w:szCs w:val="20"/>
                <w:lang w:val="en-GB"/>
              </w:rPr>
            </w:pPr>
            <w:r w:rsidRPr="002C0BAD">
              <w:rPr>
                <w:rFonts w:ascii="Times New Roman" w:hAnsi="Times New Roman" w:cs="Times New Roman"/>
                <w:color w:val="000000" w:themeColor="text1"/>
                <w:sz w:val="20"/>
                <w:szCs w:val="20"/>
                <w:lang w:val="en-GB"/>
              </w:rPr>
              <w:t>- 2x Display Port</w:t>
            </w:r>
          </w:p>
          <w:p w:rsidR="00902A97" w:rsidRPr="002C0BAD" w:rsidRDefault="00902A97" w:rsidP="00902A97">
            <w:pPr>
              <w:spacing w:before="60" w:after="60" w:line="288" w:lineRule="auto"/>
              <w:rPr>
                <w:rFonts w:ascii="Times New Roman" w:hAnsi="Times New Roman" w:cs="Times New Roman"/>
                <w:color w:val="000000" w:themeColor="text1"/>
                <w:sz w:val="20"/>
                <w:szCs w:val="20"/>
                <w:lang w:val="en-GB"/>
              </w:rPr>
            </w:pPr>
            <w:r w:rsidRPr="002C0BAD">
              <w:rPr>
                <w:rFonts w:ascii="Times New Roman" w:hAnsi="Times New Roman" w:cs="Times New Roman"/>
                <w:color w:val="000000" w:themeColor="text1"/>
                <w:sz w:val="20"/>
                <w:szCs w:val="20"/>
                <w:lang w:val="en-GB"/>
              </w:rPr>
              <w:t>- 1x 12G-SDI</w:t>
            </w:r>
          </w:p>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transmitujące sygnał wideo w rozdzielczości min. 3840 x 2160 p, 50/60 </w:t>
            </w:r>
            <w:proofErr w:type="spellStart"/>
            <w:r w:rsidRPr="002C0BAD">
              <w:rPr>
                <w:rFonts w:ascii="Times New Roman" w:hAnsi="Times New Roman" w:cs="Times New Roman"/>
                <w:color w:val="000000" w:themeColor="text1"/>
                <w:sz w:val="20"/>
                <w:szCs w:val="20"/>
              </w:rPr>
              <w:t>Hz</w:t>
            </w:r>
            <w:proofErr w:type="spellEnd"/>
            <w:r w:rsidRPr="002C0BAD">
              <w:rPr>
                <w:rFonts w:ascii="Times New Roman" w:hAnsi="Times New Roman" w:cs="Times New Roman"/>
                <w:color w:val="000000" w:themeColor="text1"/>
                <w:sz w:val="20"/>
                <w:szCs w:val="20"/>
              </w:rPr>
              <w:t xml:space="preserve">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Sterownik kamery wyposażony w cyfrowe wyjście wideo 1x DVI-D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Sterownik kamery wyposażony min. 3 gniazda USB</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Min. 1 gniazdo USB umieszczone na panelu przednim sterownika kamery</w:t>
            </w:r>
          </w:p>
        </w:tc>
        <w:tc>
          <w:tcPr>
            <w:tcW w:w="1559" w:type="dxa"/>
          </w:tcPr>
          <w:p w:rsidR="00902A97" w:rsidRPr="002C0BAD" w:rsidRDefault="00902A97" w:rsidP="00902A97">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w:t>
            </w:r>
            <w:r w:rsidR="00BB06D7" w:rsidRPr="002C0BAD">
              <w:rPr>
                <w:rFonts w:ascii="Times New Roman" w:hAnsi="Times New Roman" w:cs="Times New Roman"/>
                <w:color w:val="000000" w:themeColor="text1"/>
                <w:sz w:val="20"/>
                <w:szCs w:val="20"/>
              </w:rPr>
              <w:t>, podać</w:t>
            </w:r>
          </w:p>
          <w:p w:rsidR="00902A97" w:rsidRPr="002C0BAD" w:rsidRDefault="00902A97" w:rsidP="00902A97">
            <w:pPr>
              <w:spacing w:before="60" w:after="60" w:line="288" w:lineRule="auto"/>
              <w:jc w:val="center"/>
              <w:rPr>
                <w:rFonts w:ascii="Times New Roman" w:hAnsi="Times New Roman" w:cs="Times New Roman"/>
                <w:color w:val="000000" w:themeColor="text1"/>
                <w:sz w:val="20"/>
                <w:szCs w:val="20"/>
              </w:rPr>
            </w:pP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Ilość gniazd USB na panelu przednim:</w:t>
            </w:r>
          </w:p>
          <w:p w:rsidR="00902A97" w:rsidRPr="002C0BAD" w:rsidRDefault="00902A97" w:rsidP="00902A97">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=1 - 0 pkt.</w:t>
            </w:r>
          </w:p>
          <w:p w:rsidR="00902A97" w:rsidRPr="002C0BAD" w:rsidRDefault="00902A97" w:rsidP="00902A97">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&gt;1 - 10 pkt.</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zapisu zdjęć i filmów w pamięci </w:t>
            </w:r>
            <w:proofErr w:type="spellStart"/>
            <w:r w:rsidRPr="002C0BAD">
              <w:rPr>
                <w:rFonts w:ascii="Times New Roman" w:hAnsi="Times New Roman" w:cs="Times New Roman"/>
                <w:color w:val="000000" w:themeColor="text1"/>
                <w:sz w:val="20"/>
                <w:szCs w:val="20"/>
              </w:rPr>
              <w:t>PenDrive</w:t>
            </w:r>
            <w:proofErr w:type="spellEnd"/>
            <w:r w:rsidRPr="002C0BAD">
              <w:rPr>
                <w:rFonts w:ascii="Times New Roman" w:hAnsi="Times New Roman" w:cs="Times New Roman"/>
                <w:color w:val="000000" w:themeColor="text1"/>
                <w:sz w:val="20"/>
                <w:szCs w:val="20"/>
              </w:rPr>
              <w:t xml:space="preserve"> bezpośrednio podłączonej do sterownika kamery, w zestawie pamięć </w:t>
            </w:r>
            <w:proofErr w:type="spellStart"/>
            <w:r w:rsidRPr="002C0BAD">
              <w:rPr>
                <w:rFonts w:ascii="Times New Roman" w:hAnsi="Times New Roman" w:cs="Times New Roman"/>
                <w:color w:val="000000" w:themeColor="text1"/>
                <w:sz w:val="20"/>
                <w:szCs w:val="20"/>
              </w:rPr>
              <w:t>PenDrive</w:t>
            </w:r>
            <w:proofErr w:type="spellEnd"/>
            <w:r w:rsidRPr="002C0BAD">
              <w:rPr>
                <w:rFonts w:ascii="Times New Roman" w:hAnsi="Times New Roman" w:cs="Times New Roman"/>
                <w:color w:val="000000" w:themeColor="text1"/>
                <w:sz w:val="20"/>
                <w:szCs w:val="20"/>
              </w:rPr>
              <w:t xml:space="preserve"> o pojemności min. 32 GB</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filmów w formacie: MPEG4</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zdjęć w formacie: JPEG</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color w:val="000000" w:themeColor="text1"/>
                <w:sz w:val="20"/>
                <w:szCs w:val="20"/>
              </w:rPr>
              <w:t>Zapis zdjęć w rozdzielczości 3840 x 2160 pikseli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Sterownik kamery wyposażony w zintegrowane gniazdo do bezpośredniego podłączenia i komunikacji z oferowanym  źródła światła LED</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wyświetlania ustawionego poziomu intensywności światła oferowanego źródła światła LED na ekranie monitora operacyjnego</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Funkcja manualnej zmiany poziomu intensywności światła przez użytkownika w oferowanym źródle światła LED bezpośrednio poprzez przyciski głowicy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Funkcja automatycznej regulacji intensywności światła w oferowanym źródle światła LED przez sterownik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wskaźnika punktowego na ekranie monitora operacyjnego do precyzyjnego wskazywania określonego punktu pola operacyjnego</w:t>
            </w:r>
          </w:p>
        </w:tc>
        <w:tc>
          <w:tcPr>
            <w:tcW w:w="1559" w:type="dxa"/>
          </w:tcPr>
          <w:p w:rsidR="00902A97" w:rsidRPr="002C0BAD" w:rsidRDefault="00902A97" w:rsidP="00902A97">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siatki na ekranie monitora operacyjnego do precyzyjnego wskazywania określonego obszaru pola operacyjnego</w:t>
            </w:r>
          </w:p>
        </w:tc>
        <w:tc>
          <w:tcPr>
            <w:tcW w:w="1559" w:type="dxa"/>
          </w:tcPr>
          <w:p w:rsidR="00902A97" w:rsidRPr="002C0BAD" w:rsidRDefault="00902A97" w:rsidP="00902A97">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902A97" w:rsidRPr="002C0BAD" w:rsidRDefault="00902A97" w:rsidP="00902A97">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Tryb wizualizacji wykorzystujący cyfrowe odfiltrowanie koloru czerwonego z widma w celu poprawy różnicowania struktur tkankowych i unaczynienia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Tryb wizualizacji wykorzystujący cyfrową intensyfikację odcieni niebieskich i zielonych z jednoczesną redukcją odcieni czerwonych w celu poprawy różnicowania struktur tkankowych i unaczynienia</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Wykorzystanie trybów obrazowania niezależne od wykorzystywanego źródła światła</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jednoczesnego wyświetlania dwóch obrazów obok siebie na ekranie monitora operacyjnego tj. obrazu rzeczywistego i obrazu z włączonym trybem wizualizacji z możliwością włączania i wyłączania w dowolnym momencie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regulacji jasności, dostępne min. 4 poziomy ustawienia jasności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w:t>
            </w:r>
            <w:proofErr w:type="spellStart"/>
            <w:r w:rsidRPr="002C0BAD">
              <w:rPr>
                <w:rFonts w:ascii="Times New Roman" w:hAnsi="Times New Roman" w:cs="Times New Roman"/>
                <w:color w:val="000000" w:themeColor="text1"/>
                <w:sz w:val="20"/>
                <w:szCs w:val="20"/>
              </w:rPr>
              <w:t>zoom'u</w:t>
            </w:r>
            <w:proofErr w:type="spellEnd"/>
            <w:r w:rsidRPr="002C0BAD">
              <w:rPr>
                <w:rFonts w:ascii="Times New Roman" w:hAnsi="Times New Roman" w:cs="Times New Roman"/>
                <w:color w:val="000000" w:themeColor="text1"/>
                <w:sz w:val="20"/>
                <w:szCs w:val="20"/>
              </w:rPr>
              <w:t xml:space="preserve"> cyfrowego, dostępne min. 6 poziomy regulacji </w:t>
            </w:r>
            <w:proofErr w:type="spellStart"/>
            <w:r w:rsidRPr="002C0BAD">
              <w:rPr>
                <w:rFonts w:ascii="Times New Roman" w:hAnsi="Times New Roman" w:cs="Times New Roman"/>
                <w:color w:val="000000" w:themeColor="text1"/>
                <w:sz w:val="20"/>
                <w:szCs w:val="20"/>
              </w:rPr>
              <w:t>zoom'u</w:t>
            </w:r>
            <w:proofErr w:type="spellEnd"/>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wyświetlania daty i godziny na ekranie monitora operacyjnego</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wprowadzania i zapamiętywania danych pacjenta, min.: imię, nazwisko, data urodzenia, ID.</w:t>
            </w:r>
          </w:p>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Możliwość zapamiętania danych dla min. 40 pacjentów w pamięci wewnętrznej sterownika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Funkcja wyświetlania imienia i nazwiska pacjenta na ekranie monitora operacyjnego podczas operacji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Funkcja tworzenia i zapisu w pamięci wewnętrznej sterownika kamery profili użytkowników z indywidualnymi ustawieniami sterownika kamery obejmującymi:</w:t>
            </w:r>
          </w:p>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indywidualną konfigurację menu sterownika kamery,</w:t>
            </w:r>
          </w:p>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 indywidualne przypisanie funkcji dostępnych bezpośrednio pod przyciskami głowicy kamery.</w:t>
            </w:r>
          </w:p>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Zapis min. 20 indywidualnych profili użytkowników</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Funkcja importu / eksportu profili użytkowników z / do pamięci </w:t>
            </w:r>
            <w:proofErr w:type="spellStart"/>
            <w:r w:rsidRPr="002C0BAD">
              <w:rPr>
                <w:rFonts w:ascii="Times New Roman" w:hAnsi="Times New Roman" w:cs="Times New Roman"/>
                <w:color w:val="000000" w:themeColor="text1"/>
                <w:sz w:val="20"/>
                <w:szCs w:val="20"/>
              </w:rPr>
              <w:t>PenDrive</w:t>
            </w:r>
            <w:proofErr w:type="spellEnd"/>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Obsługa funkcji sterownika kamery ze sterylnej strefy sali operacyjnej poprzez przyciski na głowicy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Dostęp do funkcji sterownika kamery z "brudnej" strefy sali operacyjnej poprzez zewnętrzną klawiaturę bez konieczności bezpośredniego dostępu do panelu czołowego sterownika kamery, w </w:t>
            </w:r>
            <w:r w:rsidRPr="002C0BAD">
              <w:rPr>
                <w:rFonts w:ascii="Times New Roman" w:hAnsi="Times New Roman" w:cs="Times New Roman"/>
                <w:bCs/>
                <w:color w:val="000000" w:themeColor="text1"/>
                <w:sz w:val="20"/>
                <w:szCs w:val="20"/>
              </w:rPr>
              <w:t xml:space="preserve">zestawie klawiatura silikonowa z USB </w:t>
            </w:r>
            <w:r w:rsidRPr="002C0BAD">
              <w:rPr>
                <w:rFonts w:ascii="Times New Roman" w:hAnsi="Times New Roman" w:cs="Times New Roman"/>
                <w:color w:val="000000" w:themeColor="text1"/>
                <w:sz w:val="20"/>
                <w:szCs w:val="20"/>
              </w:rPr>
              <w:t>zgodna z MDD 93/42/EWG</w:t>
            </w:r>
            <w:r w:rsidR="000002C6" w:rsidRPr="002C0BAD">
              <w:rPr>
                <w:rFonts w:ascii="Times New Roman" w:hAnsi="Times New Roman" w:cs="Times New Roman"/>
                <w:color w:val="000000" w:themeColor="text1"/>
                <w:sz w:val="20"/>
                <w:szCs w:val="20"/>
              </w:rPr>
              <w:t xml:space="preserve"> lub równoważne</w:t>
            </w:r>
            <w:r w:rsidRPr="002C0BAD">
              <w:rPr>
                <w:rFonts w:ascii="Times New Roman" w:hAnsi="Times New Roman" w:cs="Times New Roman"/>
                <w:bCs/>
                <w:color w:val="000000" w:themeColor="text1"/>
                <w:sz w:val="20"/>
                <w:szCs w:val="20"/>
              </w:rPr>
              <w:t>, stopień ochrony min. IP68</w:t>
            </w:r>
            <w:r w:rsidRPr="002C0BAD">
              <w:rPr>
                <w:rFonts w:ascii="Times New Roman" w:hAnsi="Times New Roman" w:cs="Times New Roman"/>
                <w:color w:val="000000" w:themeColor="text1"/>
                <w:sz w:val="20"/>
                <w:szCs w:val="20"/>
              </w:rPr>
              <w:t xml:space="preserve"> </w:t>
            </w:r>
            <w:r w:rsidR="000002C6" w:rsidRPr="002C0BAD">
              <w:rPr>
                <w:rFonts w:ascii="Times New Roman" w:hAnsi="Times New Roman" w:cs="Times New Roman"/>
                <w:color w:val="000000" w:themeColor="text1"/>
                <w:sz w:val="20"/>
                <w:szCs w:val="20"/>
              </w:rPr>
              <w:t>lub równoważne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Menu i funkcje sterownika kamery wyświetlane na ekranie monitora operacyjnego w postaci </w:t>
            </w:r>
            <w:proofErr w:type="spellStart"/>
            <w:r w:rsidRPr="002C0BAD">
              <w:rPr>
                <w:rFonts w:ascii="Times New Roman" w:hAnsi="Times New Roman" w:cs="Times New Roman"/>
                <w:color w:val="000000" w:themeColor="text1"/>
                <w:sz w:val="20"/>
                <w:szCs w:val="20"/>
              </w:rPr>
              <w:t>graficzno</w:t>
            </w:r>
            <w:proofErr w:type="spellEnd"/>
            <w:r w:rsidRPr="002C0BAD">
              <w:rPr>
                <w:rFonts w:ascii="Times New Roman" w:hAnsi="Times New Roman" w:cs="Times New Roman"/>
                <w:color w:val="000000" w:themeColor="text1"/>
                <w:sz w:val="20"/>
                <w:szCs w:val="20"/>
              </w:rPr>
              <w:t xml:space="preserve"> - tekstowych ikon</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dedykowanego sztywnego </w:t>
            </w:r>
            <w:proofErr w:type="spellStart"/>
            <w:r w:rsidRPr="002C0BAD">
              <w:rPr>
                <w:rFonts w:ascii="Times New Roman" w:hAnsi="Times New Roman" w:cs="Times New Roman"/>
                <w:color w:val="000000" w:themeColor="text1"/>
                <w:sz w:val="20"/>
                <w:szCs w:val="20"/>
              </w:rPr>
              <w:t>wideoenoskopu</w:t>
            </w:r>
            <w:proofErr w:type="spellEnd"/>
            <w:r w:rsidRPr="002C0BAD">
              <w:rPr>
                <w:rFonts w:ascii="Times New Roman" w:hAnsi="Times New Roman" w:cs="Times New Roman"/>
                <w:color w:val="000000" w:themeColor="text1"/>
                <w:sz w:val="20"/>
                <w:szCs w:val="20"/>
              </w:rPr>
              <w:t xml:space="preserve"> 3D FULL HD do operacji wewnątrznosowych</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023411">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dedykowanego </w:t>
            </w:r>
            <w:proofErr w:type="spellStart"/>
            <w:r w:rsidRPr="002C0BAD">
              <w:rPr>
                <w:rFonts w:ascii="Times New Roman" w:hAnsi="Times New Roman" w:cs="Times New Roman"/>
                <w:color w:val="000000" w:themeColor="text1"/>
                <w:sz w:val="20"/>
                <w:szCs w:val="20"/>
              </w:rPr>
              <w:t>egzoskopu</w:t>
            </w:r>
            <w:proofErr w:type="spellEnd"/>
            <w:r w:rsidRPr="002C0BAD">
              <w:rPr>
                <w:rFonts w:ascii="Times New Roman" w:hAnsi="Times New Roman" w:cs="Times New Roman"/>
                <w:color w:val="000000" w:themeColor="text1"/>
                <w:sz w:val="20"/>
                <w:szCs w:val="20"/>
              </w:rPr>
              <w:t xml:space="preserve"> 3D</w:t>
            </w:r>
          </w:p>
        </w:tc>
        <w:tc>
          <w:tcPr>
            <w:tcW w:w="1559" w:type="dxa"/>
          </w:tcPr>
          <w:p w:rsidR="00902A97" w:rsidRPr="002C0BAD" w:rsidRDefault="00902A97" w:rsidP="00902A97">
            <w:pPr>
              <w:spacing w:before="60" w:after="60" w:line="288" w:lineRule="auto"/>
              <w:jc w:val="center"/>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before="60" w:after="60"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902A97" w:rsidRPr="002C0BAD" w:rsidRDefault="00902A97" w:rsidP="00902A97">
            <w:pPr>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color w:val="000000" w:themeColor="text1"/>
                <w:sz w:val="20"/>
                <w:szCs w:val="20"/>
              </w:rPr>
              <w:t xml:space="preserve">Konstrukcja sterownika kamery otwarta na rozbudowę o możliwość podłączenia </w:t>
            </w:r>
            <w:r w:rsidRPr="002C0BAD">
              <w:rPr>
                <w:rFonts w:ascii="Times New Roman" w:hAnsi="Times New Roman" w:cs="Times New Roman"/>
                <w:bCs/>
                <w:color w:val="000000" w:themeColor="text1"/>
                <w:sz w:val="20"/>
                <w:szCs w:val="20"/>
              </w:rPr>
              <w:t>głowicy kamery FULL HD do obrazowania fluorescencyjnego ICG w bliskiej podczerwieni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w:t>
            </w:r>
            <w:r w:rsidR="001B319C" w:rsidRPr="002C0BAD">
              <w:rPr>
                <w:rFonts w:ascii="Times New Roman" w:hAnsi="Times New Roman" w:cs="Times New Roman"/>
                <w:color w:val="000000" w:themeColor="text1"/>
                <w:sz w:val="20"/>
                <w:szCs w:val="20"/>
              </w:rPr>
              <w:t xml:space="preserve"> lub równoważne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
                <w:bCs/>
                <w:color w:val="000000" w:themeColor="text1"/>
                <w:sz w:val="20"/>
                <w:szCs w:val="20"/>
              </w:rPr>
              <w:t>Głowica kamery - 1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Praca głowicy kamery w standardzie min. 4K UHD 3840 × 2160 pikseli, skanowanie progresywne, kompatybilna z oferowanym sterownikiem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Głowica kamery wyposażona w min. 1 przetwornik obrazowy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Zintegrowany obiektyw ze standardowym adapterem okularowym</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bCs/>
                <w:color w:val="000000" w:themeColor="text1"/>
                <w:sz w:val="20"/>
                <w:szCs w:val="20"/>
              </w:rPr>
              <w:t>Głowica kamery wyposażona w min. 3 przyciski sterujące funkcjami sterownika kamery w tym 2 programowalne umożliwiające zaprogramowanie po 2 funkcji pod jednym przyciskiem (uruchamianie poprzez krótkie i długie wciśnięcie)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Możliwość zaprogramowania funkcji uruchomienia zapisu zdjęcia i filmu wideo (start/stop) pod jednym przyciskiem głowicy kamery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Masa głowicy kamery nie większa niż 220 g</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Możliwość sterylizacji w </w:t>
            </w:r>
            <w:proofErr w:type="spellStart"/>
            <w:r w:rsidRPr="002C0BAD">
              <w:rPr>
                <w:rFonts w:ascii="Times New Roman" w:hAnsi="Times New Roman" w:cs="Times New Roman"/>
                <w:bCs/>
                <w:color w:val="000000" w:themeColor="text1"/>
                <w:sz w:val="20"/>
                <w:szCs w:val="20"/>
              </w:rPr>
              <w:t>EtO</w:t>
            </w:r>
            <w:proofErr w:type="spellEnd"/>
            <w:r w:rsidRPr="002C0BAD">
              <w:rPr>
                <w:rFonts w:ascii="Times New Roman" w:hAnsi="Times New Roman" w:cs="Times New Roman"/>
                <w:bCs/>
                <w:color w:val="000000" w:themeColor="text1"/>
                <w:sz w:val="20"/>
                <w:szCs w:val="20"/>
              </w:rPr>
              <w:t>, STERRAD NX, 100NX, STERIS SYSTEM 1</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w:t>
            </w:r>
            <w:r w:rsidR="006D7468" w:rsidRPr="002C0BAD">
              <w:rPr>
                <w:rFonts w:ascii="Times New Roman" w:hAnsi="Times New Roman" w:cs="Times New Roman"/>
                <w:color w:val="000000" w:themeColor="text1"/>
                <w:sz w:val="20"/>
                <w:szCs w:val="20"/>
              </w:rPr>
              <w:t xml:space="preserve"> lub równoważne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color w:val="000000" w:themeColor="text1"/>
                <w:sz w:val="20"/>
                <w:szCs w:val="20"/>
              </w:rPr>
              <w:t>Źródło światła LED - 1 zestaw</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Źródło światła wykorzystujące technologię hybrydową łączącą światło LED ze światłem laserowym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Temperatura barwowa w zakresie 6000K - 6400K</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Moc wyjściowa światła odpowiadająca źródłu światła ksenon 300W</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Żywotność lampy LED min. 25 000 godzin</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Obsługa źródła światła poprzez kolorowy ekran dotykowy</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Wskaźnik graficzny i liczbowy wyświetlany na ekranie dotykowym wskazujący ustawiony poziom intensywności światła</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Cs/>
                <w:color w:val="000000" w:themeColor="text1"/>
                <w:sz w:val="20"/>
                <w:szCs w:val="20"/>
              </w:rPr>
            </w:pPr>
            <w:r w:rsidRPr="002C0BAD">
              <w:rPr>
                <w:rFonts w:ascii="Times New Roman" w:hAnsi="Times New Roman" w:cs="Times New Roman"/>
                <w:bCs/>
                <w:color w:val="000000" w:themeColor="text1"/>
                <w:sz w:val="20"/>
                <w:szCs w:val="20"/>
              </w:rPr>
              <w:t xml:space="preserve">Źródło światła wyposażone w zintegrowane gniazdo do bezpośredniego połączenia z  oferowanym sterownikiem kamery w celu komunikacji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Stopień ochrony CF</w:t>
            </w:r>
            <w:r w:rsidR="002C77EB" w:rsidRPr="002C0BAD">
              <w:rPr>
                <w:rFonts w:ascii="Times New Roman" w:hAnsi="Times New Roman" w:cs="Times New Roman"/>
                <w:color w:val="000000" w:themeColor="text1"/>
                <w:sz w:val="20"/>
                <w:szCs w:val="20"/>
              </w:rPr>
              <w:t xml:space="preserve"> lub równoważne</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Wózek aparaturowy - 1 zestaw</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Podstawa wyposażona w 4 koła z blokadą na min. 2 kołach</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Min. 3 półki oraz 1 szuflada</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Wysięgnik lub ramię do zamocowania monitora</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shd w:val="clear" w:color="auto" w:fill="E7E6E6" w:themeFill="background2"/>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b/>
                <w:color w:val="000000" w:themeColor="text1"/>
                <w:sz w:val="20"/>
                <w:szCs w:val="20"/>
              </w:rPr>
            </w:pPr>
          </w:p>
        </w:tc>
        <w:tc>
          <w:tcPr>
            <w:tcW w:w="5646" w:type="dxa"/>
            <w:shd w:val="clear" w:color="auto" w:fill="E7E6E6" w:themeFill="background2"/>
          </w:tcPr>
          <w:p w:rsidR="00902A97" w:rsidRPr="002C0BAD" w:rsidRDefault="00902A97" w:rsidP="00902A97">
            <w:pPr>
              <w:spacing w:line="288" w:lineRule="auto"/>
              <w:rPr>
                <w:rFonts w:ascii="Times New Roman" w:hAnsi="Times New Roman" w:cs="Times New Roman"/>
                <w:b/>
                <w:color w:val="000000" w:themeColor="text1"/>
                <w:sz w:val="20"/>
                <w:szCs w:val="20"/>
              </w:rPr>
            </w:pPr>
            <w:r w:rsidRPr="002C0BAD">
              <w:rPr>
                <w:rFonts w:ascii="Times New Roman" w:hAnsi="Times New Roman" w:cs="Times New Roman"/>
                <w:b/>
                <w:color w:val="000000" w:themeColor="text1"/>
                <w:sz w:val="20"/>
                <w:szCs w:val="20"/>
              </w:rPr>
              <w:t>SYSTEM ENDOSKOPOWY NR 2</w:t>
            </w:r>
          </w:p>
        </w:tc>
        <w:tc>
          <w:tcPr>
            <w:tcW w:w="1559" w:type="dxa"/>
            <w:shd w:val="clear" w:color="auto" w:fill="E7E6E6" w:themeFill="background2"/>
          </w:tcPr>
          <w:p w:rsidR="00902A97" w:rsidRPr="002C0BAD" w:rsidRDefault="00902A97" w:rsidP="00902A97">
            <w:pPr>
              <w:spacing w:line="288" w:lineRule="auto"/>
              <w:rPr>
                <w:rFonts w:ascii="Times New Roman" w:hAnsi="Times New Roman" w:cs="Times New Roman"/>
                <w:b/>
                <w:color w:val="000000" w:themeColor="text1"/>
                <w:sz w:val="20"/>
                <w:szCs w:val="20"/>
              </w:rPr>
            </w:pPr>
          </w:p>
        </w:tc>
        <w:tc>
          <w:tcPr>
            <w:tcW w:w="3686" w:type="dxa"/>
            <w:shd w:val="clear" w:color="auto" w:fill="E7E6E6" w:themeFill="background2"/>
          </w:tcPr>
          <w:p w:rsidR="00902A97" w:rsidRPr="002C0BAD" w:rsidRDefault="00902A97" w:rsidP="00902A97">
            <w:pPr>
              <w:spacing w:line="288" w:lineRule="auto"/>
              <w:rPr>
                <w:rFonts w:ascii="Times New Roman" w:hAnsi="Times New Roman" w:cs="Times New Roman"/>
                <w:b/>
                <w:color w:val="000000" w:themeColor="text1"/>
                <w:sz w:val="20"/>
                <w:szCs w:val="20"/>
              </w:rPr>
            </w:pPr>
          </w:p>
        </w:tc>
        <w:tc>
          <w:tcPr>
            <w:tcW w:w="2800" w:type="dxa"/>
            <w:shd w:val="clear" w:color="auto" w:fill="E7E6E6" w:themeFill="background2"/>
          </w:tcPr>
          <w:p w:rsidR="00902A97" w:rsidRPr="002C0BAD" w:rsidRDefault="00902A97" w:rsidP="00902A97">
            <w:pPr>
              <w:spacing w:line="288" w:lineRule="auto"/>
              <w:rPr>
                <w:rFonts w:ascii="Times New Roman" w:hAnsi="Times New Roman" w:cs="Times New Roman"/>
                <w:b/>
                <w:color w:val="000000" w:themeColor="text1"/>
                <w:sz w:val="20"/>
                <w:szCs w:val="20"/>
              </w:rPr>
            </w:pP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Wszystkie elementy osprzętu opisane poniżej kompatybilne  z torem wizyjnym (opisanym jak wyżej)</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spacing w:before="60" w:after="60" w:line="288" w:lineRule="auto"/>
              <w:rPr>
                <w:rFonts w:ascii="Times New Roman" w:hAnsi="Times New Roman" w:cs="Times New Roman"/>
                <w:b/>
                <w:bCs/>
                <w:color w:val="000000" w:themeColor="text1"/>
                <w:sz w:val="20"/>
                <w:szCs w:val="20"/>
              </w:rPr>
            </w:pPr>
            <w:r w:rsidRPr="002C0BAD">
              <w:rPr>
                <w:rFonts w:ascii="Times New Roman" w:hAnsi="Times New Roman" w:cs="Times New Roman"/>
                <w:b/>
                <w:bCs/>
                <w:color w:val="000000" w:themeColor="text1"/>
                <w:sz w:val="20"/>
                <w:szCs w:val="20"/>
              </w:rPr>
              <w:t xml:space="preserve">osprzęt do dostępu do podstawy czaszki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 z LUER-Lock, krótko zakrzywiona, średnica zewnętrzna 4 mm, długość 12,5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 z LUER-Lock, giętka, długa, zakrzywiona, średnica zewnętrzna 3 mm, długość 12,5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Rurka ssąca FRAZIER, z mandrynem i otworem odcinającym, z podziałką, 9 Fr., długość roboczej 10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proste, rozmiar 1,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BLAKESLEY-WILDE,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do góry, zewnętrzna 1,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BLAKESLEY-WILDE,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90° do</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góry, zewnętrzna 1,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tnące GRÜNWALD-HENKE, proste, szerokość 3,5 mm, długość 11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tnące GRÜNWALD-HENKE, zakrzywione 45° do góry, szerokość 3,5 mm, długość 11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25°,szerokość 3,5mm,długośćroboczej13cm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Łyżeczka zatokowa, prostokątna, mała, długość 19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Łyżeczka KUHN-BOLGER, do zatok czołowych, zakrzywiona 90°, długość 19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proofErr w:type="spellStart"/>
            <w:r w:rsidRPr="002C0BAD">
              <w:rPr>
                <w:rFonts w:ascii="Times New Roman" w:hAnsi="Times New Roman" w:cs="Times New Roman"/>
                <w:color w:val="000000" w:themeColor="text1"/>
                <w:sz w:val="20"/>
                <w:szCs w:val="20"/>
              </w:rPr>
              <w:t>Odgryzacz</w:t>
            </w:r>
            <w:proofErr w:type="spellEnd"/>
            <w:r w:rsidRPr="002C0BAD">
              <w:rPr>
                <w:rFonts w:ascii="Times New Roman" w:hAnsi="Times New Roman" w:cs="Times New Roman"/>
                <w:color w:val="000000" w:themeColor="text1"/>
                <w:sz w:val="20"/>
                <w:szCs w:val="20"/>
              </w:rPr>
              <w:t xml:space="preserve"> HOSEMANN do zatoki czołowej, zagięty 70° do góry, średnica końcówki 3,5 mm,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grzybkowe STAMMBERGER, tnące okrągło, proste, średnica 4,5 mm, długość 18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górne, tnące do tyłu, długość roboczej 10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tnące w prawo do dołu, długość roboczej 10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zatokowe STAMMBERGER, tnące w lewo do dołu, długość roboczej 10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JANSEN, do opatrunków nosowych, bagnetowe, smukłe, długość 16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Wziernik nosowy RUDERT, długość15cm, ze śrubą blokującą, ostrze</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lewe 55 mm, ostrze prawe krótsze z 3 ząbkami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Wziernik nosowy RUDERT, długość 15cm, ze śrubą blokującą, ostrze</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prawe 55 mm, ostrze lewe krótsze z 3 ząbkami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b/>
                <w:bCs/>
                <w:color w:val="000000" w:themeColor="text1"/>
                <w:sz w:val="20"/>
                <w:szCs w:val="20"/>
              </w:rPr>
            </w:pPr>
            <w:r w:rsidRPr="002C0BAD">
              <w:rPr>
                <w:rFonts w:ascii="Times New Roman" w:hAnsi="Times New Roman" w:cs="Times New Roman"/>
                <w:b/>
                <w:bCs/>
                <w:color w:val="000000" w:themeColor="text1"/>
                <w:sz w:val="20"/>
                <w:szCs w:val="20"/>
              </w:rPr>
              <w:t>Zestaw narzędzi do przedniej podstawy czaszki</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Optyka HOPKINS II 30°, średnica 4 mm, długość 18 cm, </w:t>
            </w:r>
            <w:proofErr w:type="spellStart"/>
            <w:r w:rsidRPr="002C0BAD">
              <w:rPr>
                <w:rFonts w:ascii="Times New Roman" w:hAnsi="Times New Roman" w:cs="Times New Roman"/>
                <w:color w:val="000000" w:themeColor="text1"/>
                <w:sz w:val="20"/>
                <w:szCs w:val="20"/>
              </w:rPr>
              <w:t>autoklawowalna</w:t>
            </w:r>
            <w:proofErr w:type="spellEnd"/>
            <w:r w:rsidRPr="002C0BAD">
              <w:rPr>
                <w:rFonts w:ascii="Times New Roman" w:hAnsi="Times New Roman" w:cs="Times New Roman"/>
                <w:color w:val="000000" w:themeColor="text1"/>
                <w:sz w:val="20"/>
                <w:szCs w:val="20"/>
              </w:rPr>
              <w:t xml:space="preserve">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Płaszcz ssąco-płuczący 30° do CLEARVISION, owal 4,8x6 mm, długość roboczej 14 cm, do zastosowania z optyką – 2 szt.</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Optyka HOPKINS II 45°, średnica 4 mm, długość 18 cm, </w:t>
            </w:r>
            <w:proofErr w:type="spellStart"/>
            <w:r w:rsidRPr="002C0BAD">
              <w:rPr>
                <w:rFonts w:ascii="Times New Roman" w:hAnsi="Times New Roman" w:cs="Times New Roman"/>
                <w:color w:val="000000" w:themeColor="text1"/>
                <w:sz w:val="20"/>
                <w:szCs w:val="20"/>
              </w:rPr>
              <w:t>autoklawowalna</w:t>
            </w:r>
            <w:proofErr w:type="spellEnd"/>
            <w:r w:rsidRPr="002C0BAD">
              <w:rPr>
                <w:rFonts w:ascii="Times New Roman" w:hAnsi="Times New Roman" w:cs="Times New Roman"/>
                <w:color w:val="000000" w:themeColor="text1"/>
                <w:sz w:val="20"/>
                <w:szCs w:val="20"/>
              </w:rPr>
              <w:t xml:space="preserve">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Płaszcz ssąco-płuczący 45° do CLEARVISION, owal 4,8x6 mm, długość roboczej 14 cm, do zastosowania z optyką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 tnące,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proste, szerokość 1,5 mm,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tnące,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do góry, szerokość 1,5mm,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miniaturowe, tnące, płaszcz 30° do góry, szerokość 1,5mm,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miniaturowe, tnące, płaszcz 30°,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szerokość 1,5mm,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tnące, otwierane w</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lastRenderedPageBreak/>
              <w:t>prawo, zakrzywienie 65°, szerkość1,5mm,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lastRenderedPageBreak/>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otwierane do tyłu, zakrzywienie 65°, szerkość1,5mm,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otwierane w lewo, zakrzywienie 65°, szerkość1,5mm, długość robocza13cm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 tnące, 45°,płaszcz 25°, szerokość 3 mm,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BLAKESLEY-CASTELNUOVO , płaszcz 25°, szerokość 3 mm,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Kleszcze nosowe CASTELNUOVO, tnące, zakrzywienie 25° do góry, szerokość 3 mm, długość roboczej 13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 szerkość3mm, długość roboczej 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zatokowe HEUWIESER, zakrzywione do dołu 90°, rozwarcie </w:t>
            </w:r>
            <w:proofErr w:type="spellStart"/>
            <w:r w:rsidRPr="002C0BAD">
              <w:rPr>
                <w:rFonts w:ascii="Times New Roman" w:hAnsi="Times New Roman" w:cs="Times New Roman"/>
                <w:color w:val="000000" w:themeColor="text1"/>
                <w:sz w:val="20"/>
                <w:szCs w:val="20"/>
              </w:rPr>
              <w:t>branszy</w:t>
            </w:r>
            <w:proofErr w:type="spellEnd"/>
            <w:r w:rsidRPr="002C0BAD">
              <w:rPr>
                <w:rFonts w:ascii="Times New Roman" w:hAnsi="Times New Roman" w:cs="Times New Roman"/>
                <w:color w:val="000000" w:themeColor="text1"/>
                <w:sz w:val="20"/>
                <w:szCs w:val="20"/>
              </w:rPr>
              <w:t xml:space="preserve"> do 120°, długość roboczej 10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Sztanca </w:t>
            </w:r>
            <w:proofErr w:type="spellStart"/>
            <w:r w:rsidRPr="002C0BAD">
              <w:rPr>
                <w:rFonts w:ascii="Times New Roman" w:hAnsi="Times New Roman" w:cs="Times New Roman"/>
                <w:color w:val="000000" w:themeColor="text1"/>
                <w:sz w:val="20"/>
                <w:szCs w:val="20"/>
              </w:rPr>
              <w:t>McKENTY</w:t>
            </w:r>
            <w:proofErr w:type="spellEnd"/>
            <w:r w:rsidRPr="002C0BAD">
              <w:rPr>
                <w:rFonts w:ascii="Times New Roman" w:hAnsi="Times New Roman" w:cs="Times New Roman"/>
                <w:color w:val="000000" w:themeColor="text1"/>
                <w:sz w:val="20"/>
                <w:szCs w:val="20"/>
              </w:rPr>
              <w:t>-CASTELNUOVO, przelotowa, zakrzywiona 30°, obrotowa, zewnętrzna 1,6 x 2 mm, długość robocza17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Sonda CASTELNUOVO, do zatoki czołowej, dwustronna, zakrzywiona, długość 22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tępy, zagięty / półostry, lekko zakrzywiony; długość 26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półostry, zagięty,</w:t>
            </w:r>
          </w:p>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łopatkowy / tępy, lekko zakrzywiony; długość 26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dwustronny CASTELNUOVO; półostry / tępy; długość</w:t>
            </w:r>
          </w:p>
          <w:p w:rsidR="00902A97" w:rsidRPr="002C0BAD" w:rsidRDefault="00902A97" w:rsidP="00902A97">
            <w:pPr>
              <w:tabs>
                <w:tab w:val="left" w:pos="1330"/>
              </w:tabs>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26 cm – 2 szt.</w:t>
            </w:r>
            <w:r w:rsidRPr="002C0BAD">
              <w:rPr>
                <w:rFonts w:ascii="Times New Roman" w:hAnsi="Times New Roman" w:cs="Times New Roman"/>
                <w:color w:val="000000" w:themeColor="text1"/>
                <w:sz w:val="20"/>
                <w:szCs w:val="20"/>
              </w:rPr>
              <w:tab/>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Haczyk CASTELNUOVO, 90°, tępy, długość 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Nóż okrągły, pionowy, owalny 3,5 x2,5 mm, długość 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Elewator ssący CASTELNUOVO; z mandrynem, zakrzywiony, długość 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-CASTELNUOVO, z LUER-Lock, giętka, kształt S, średnica zewnętrzna 2,5 mm, długość 12,5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Kaniula zatokowa </w:t>
            </w:r>
            <w:proofErr w:type="spellStart"/>
            <w:r w:rsidRPr="002C0BAD">
              <w:rPr>
                <w:rFonts w:ascii="Times New Roman" w:hAnsi="Times New Roman" w:cs="Times New Roman"/>
                <w:color w:val="000000" w:themeColor="text1"/>
                <w:sz w:val="20"/>
                <w:szCs w:val="20"/>
              </w:rPr>
              <w:t>v.EICKEN</w:t>
            </w:r>
            <w:proofErr w:type="spellEnd"/>
            <w:r w:rsidRPr="002C0BAD">
              <w:rPr>
                <w:rFonts w:ascii="Times New Roman" w:hAnsi="Times New Roman" w:cs="Times New Roman"/>
                <w:color w:val="000000" w:themeColor="text1"/>
                <w:sz w:val="20"/>
                <w:szCs w:val="20"/>
              </w:rPr>
              <w:t>-CASTELNUOVO, z LUER-Lock, giętka, kształt S, średnica zewnętrzna 2,5 mm, długość 12,5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Rurka ssąca FERGUSON-CASTELNUOVO, z LUER, z mandrynem, średnica 2 mm, długość roboczej 15 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nosowe BLAKESLEY-CASTELNUOVO, </w:t>
            </w:r>
            <w:proofErr w:type="spellStart"/>
            <w:r w:rsidRPr="002C0BAD">
              <w:rPr>
                <w:rFonts w:ascii="Times New Roman" w:hAnsi="Times New Roman" w:cs="Times New Roman"/>
                <w:color w:val="000000" w:themeColor="text1"/>
                <w:sz w:val="20"/>
                <w:szCs w:val="20"/>
              </w:rPr>
              <w:t>bransze</w:t>
            </w:r>
            <w:proofErr w:type="spellEnd"/>
            <w:r w:rsidRPr="002C0BAD">
              <w:rPr>
                <w:rFonts w:ascii="Times New Roman" w:hAnsi="Times New Roman" w:cs="Times New Roman"/>
                <w:color w:val="000000" w:themeColor="text1"/>
                <w:sz w:val="20"/>
                <w:szCs w:val="20"/>
              </w:rPr>
              <w:t xml:space="preserve"> 45°, płaszcz 25°,szerokości 3,5mm,długości roboboczej13cm – 2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System filtrów fluorescencyjnych do diagnostyki fluorescencyjnej. Kompatybilny z posiadanym źródłem światła firmy Karl </w:t>
            </w:r>
            <w:proofErr w:type="spellStart"/>
            <w:r w:rsidRPr="002C0BAD">
              <w:rPr>
                <w:rFonts w:ascii="Times New Roman" w:hAnsi="Times New Roman" w:cs="Times New Roman"/>
                <w:color w:val="000000" w:themeColor="text1"/>
                <w:sz w:val="20"/>
                <w:szCs w:val="20"/>
              </w:rPr>
              <w:t>Storz</w:t>
            </w:r>
            <w:proofErr w:type="spellEnd"/>
            <w:r w:rsidRPr="002C0BAD">
              <w:rPr>
                <w:rFonts w:ascii="Times New Roman" w:hAnsi="Times New Roman" w:cs="Times New Roman"/>
                <w:color w:val="000000" w:themeColor="text1"/>
                <w:sz w:val="20"/>
                <w:szCs w:val="20"/>
              </w:rPr>
              <w:t xml:space="preserve"> – 1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Filtr fluorescencyjny do zastosowania z optyką endoskopową – 1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Pojemnik plastikowy do sterylizacji i przechowywania instrumentów – 4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Kosz druciany na 1 optykę sztywną o długość robocza do 34 cm i średnicy do 10 mm – 4 szt.</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887E99">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Kleszcze bipolarne z cienkimi </w:t>
            </w:r>
            <w:proofErr w:type="spellStart"/>
            <w:r w:rsidRPr="002C0BAD">
              <w:rPr>
                <w:rFonts w:ascii="Times New Roman" w:hAnsi="Times New Roman" w:cs="Times New Roman"/>
                <w:color w:val="000000" w:themeColor="text1"/>
                <w:sz w:val="20"/>
                <w:szCs w:val="20"/>
              </w:rPr>
              <w:t>branszami</w:t>
            </w:r>
            <w:proofErr w:type="spellEnd"/>
            <w:r w:rsidRPr="002C0BAD">
              <w:rPr>
                <w:rFonts w:ascii="Times New Roman" w:hAnsi="Times New Roman" w:cs="Times New Roman"/>
                <w:color w:val="000000" w:themeColor="text1"/>
                <w:sz w:val="20"/>
                <w:szCs w:val="20"/>
              </w:rPr>
              <w:t xml:space="preserve">, szerokość 2 mm,  zagięcie 45°, średnica części roboczej 3,4 mm, długość części roboczej 14 cm, wyposażone w LUER-lock do czyszczenia – 2 szt.  </w:t>
            </w:r>
          </w:p>
        </w:tc>
        <w:tc>
          <w:tcPr>
            <w:tcW w:w="1559" w:type="dxa"/>
            <w:vAlign w:val="bottom"/>
          </w:tcPr>
          <w:p w:rsidR="00902A97" w:rsidRPr="002C0BAD" w:rsidRDefault="00902A97" w:rsidP="00902A97">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A964AF">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b/>
                <w:bCs/>
                <w:color w:val="000000" w:themeColor="text1"/>
                <w:sz w:val="20"/>
                <w:szCs w:val="20"/>
              </w:rPr>
              <w:t>Kompatybilność z posiadanym sprzętem</w:t>
            </w:r>
          </w:p>
        </w:tc>
        <w:tc>
          <w:tcPr>
            <w:tcW w:w="1559" w:type="dxa"/>
            <w:vAlign w:val="bottom"/>
          </w:tcPr>
          <w:p w:rsidR="00902A97" w:rsidRPr="002C0BAD" w:rsidRDefault="00902A97" w:rsidP="0028258B">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TAK, podać</w:t>
            </w:r>
          </w:p>
        </w:tc>
        <w:tc>
          <w:tcPr>
            <w:tcW w:w="3686" w:type="dxa"/>
          </w:tcPr>
          <w:p w:rsidR="00902A97" w:rsidRPr="002C0BAD" w:rsidRDefault="00902A97" w:rsidP="00902A97">
            <w:pPr>
              <w:spacing w:line="288" w:lineRule="auto"/>
              <w:jc w:val="both"/>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 -</w:t>
            </w:r>
          </w:p>
        </w:tc>
      </w:tr>
      <w:tr w:rsidR="002C0BAD" w:rsidRPr="002C0BAD" w:rsidTr="00A33A54">
        <w:tc>
          <w:tcPr>
            <w:tcW w:w="450" w:type="dxa"/>
          </w:tcPr>
          <w:p w:rsidR="00902A97" w:rsidRPr="002C0BAD" w:rsidRDefault="00902A97" w:rsidP="00902A97">
            <w:pPr>
              <w:pStyle w:val="Akapitzlist"/>
              <w:numPr>
                <w:ilvl w:val="0"/>
                <w:numId w:val="3"/>
              </w:numPr>
              <w:spacing w:line="288" w:lineRule="auto"/>
              <w:ind w:left="0" w:firstLine="0"/>
              <w:jc w:val="center"/>
              <w:rPr>
                <w:rFonts w:ascii="Times New Roman" w:hAnsi="Times New Roman" w:cs="Times New Roman"/>
                <w:color w:val="000000" w:themeColor="text1"/>
                <w:sz w:val="20"/>
                <w:szCs w:val="20"/>
              </w:rPr>
            </w:pPr>
          </w:p>
        </w:tc>
        <w:tc>
          <w:tcPr>
            <w:tcW w:w="5646" w:type="dxa"/>
          </w:tcPr>
          <w:p w:rsidR="00902A97" w:rsidRPr="002C0BAD" w:rsidRDefault="00902A97" w:rsidP="00902A97">
            <w:pPr>
              <w:autoSpaceDE w:val="0"/>
              <w:autoSpaceDN w:val="0"/>
              <w:adjustRightInd w:val="0"/>
              <w:spacing w:line="288" w:lineRule="auto"/>
              <w:jc w:val="both"/>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 xml:space="preserve">Oferowane urządzenia (min. procesor video z wbudowanym źródłem światła, </w:t>
            </w:r>
            <w:proofErr w:type="spellStart"/>
            <w:r w:rsidRPr="002C0BAD">
              <w:rPr>
                <w:rFonts w:ascii="Times New Roman" w:hAnsi="Times New Roman" w:cs="Times New Roman"/>
                <w:color w:val="000000" w:themeColor="text1"/>
                <w:sz w:val="20"/>
                <w:szCs w:val="20"/>
              </w:rPr>
              <w:t>insuflator</w:t>
            </w:r>
            <w:proofErr w:type="spellEnd"/>
            <w:r w:rsidRPr="002C0BAD">
              <w:rPr>
                <w:rFonts w:ascii="Times New Roman" w:hAnsi="Times New Roman" w:cs="Times New Roman"/>
                <w:color w:val="000000" w:themeColor="text1"/>
                <w:sz w:val="20"/>
                <w:szCs w:val="20"/>
              </w:rPr>
              <w:t xml:space="preserve">, diatermia) mają być kompatybilne z posiadanym przez zamawiającego systemem </w:t>
            </w:r>
            <w:proofErr w:type="spellStart"/>
            <w:r w:rsidRPr="002C0BAD">
              <w:rPr>
                <w:rFonts w:ascii="Times New Roman" w:hAnsi="Times New Roman" w:cs="Times New Roman"/>
                <w:color w:val="000000" w:themeColor="text1"/>
                <w:sz w:val="20"/>
                <w:szCs w:val="20"/>
              </w:rPr>
              <w:t>sal</w:t>
            </w:r>
            <w:proofErr w:type="spellEnd"/>
            <w:r w:rsidRPr="002C0BAD">
              <w:rPr>
                <w:rFonts w:ascii="Times New Roman" w:hAnsi="Times New Roman" w:cs="Times New Roman"/>
                <w:color w:val="000000" w:themeColor="text1"/>
                <w:sz w:val="20"/>
                <w:szCs w:val="20"/>
              </w:rPr>
              <w:t xml:space="preserve"> zintegrowanych </w:t>
            </w:r>
            <w:proofErr w:type="spellStart"/>
            <w:r w:rsidRPr="002C0BAD">
              <w:rPr>
                <w:rFonts w:ascii="Times New Roman" w:hAnsi="Times New Roman" w:cs="Times New Roman"/>
                <w:color w:val="000000" w:themeColor="text1"/>
                <w:sz w:val="20"/>
                <w:szCs w:val="20"/>
              </w:rPr>
              <w:t>EndoAlpha</w:t>
            </w:r>
            <w:proofErr w:type="spellEnd"/>
            <w:r w:rsidRPr="002C0BAD">
              <w:rPr>
                <w:rFonts w:ascii="Times New Roman" w:hAnsi="Times New Roman" w:cs="Times New Roman"/>
                <w:color w:val="000000" w:themeColor="text1"/>
                <w:sz w:val="20"/>
                <w:szCs w:val="20"/>
              </w:rPr>
              <w:t xml:space="preserve"> zainstalowanych na 20 salach operacyjnych i 12 salach endoskopowych. </w:t>
            </w:r>
            <w:r w:rsidR="00E4358F" w:rsidRPr="00960514">
              <w:rPr>
                <w:rFonts w:ascii="Times New Roman" w:hAnsi="Times New Roman" w:cs="Times New Roman"/>
                <w:color w:val="000000" w:themeColor="text1"/>
                <w:sz w:val="20"/>
                <w:szCs w:val="20"/>
                <w:u w:val="single"/>
              </w:rPr>
              <w:t xml:space="preserve">Załączyć oświadczenie Producenta systemu </w:t>
            </w:r>
            <w:proofErr w:type="spellStart"/>
            <w:r w:rsidR="00E4358F" w:rsidRPr="00960514">
              <w:rPr>
                <w:rFonts w:ascii="Times New Roman" w:hAnsi="Times New Roman" w:cs="Times New Roman"/>
                <w:color w:val="000000" w:themeColor="text1"/>
                <w:sz w:val="20"/>
                <w:szCs w:val="20"/>
                <w:u w:val="single"/>
              </w:rPr>
              <w:t>sal</w:t>
            </w:r>
            <w:proofErr w:type="spellEnd"/>
            <w:r w:rsidR="00E4358F" w:rsidRPr="00960514">
              <w:rPr>
                <w:rFonts w:ascii="Times New Roman" w:hAnsi="Times New Roman" w:cs="Times New Roman"/>
                <w:color w:val="000000" w:themeColor="text1"/>
                <w:sz w:val="20"/>
                <w:szCs w:val="20"/>
                <w:u w:val="single"/>
              </w:rPr>
              <w:t xml:space="preserve"> zintegrowanych </w:t>
            </w:r>
            <w:proofErr w:type="spellStart"/>
            <w:r w:rsidR="00E4358F" w:rsidRPr="00960514">
              <w:rPr>
                <w:rFonts w:ascii="Times New Roman" w:hAnsi="Times New Roman" w:cs="Times New Roman"/>
                <w:color w:val="000000" w:themeColor="text1"/>
                <w:sz w:val="20"/>
                <w:szCs w:val="20"/>
                <w:u w:val="single"/>
              </w:rPr>
              <w:t>EndoAlpha</w:t>
            </w:r>
            <w:proofErr w:type="spellEnd"/>
            <w:r w:rsidR="00E4358F" w:rsidRPr="00960514">
              <w:rPr>
                <w:rFonts w:ascii="Times New Roman" w:hAnsi="Times New Roman" w:cs="Times New Roman"/>
                <w:color w:val="000000" w:themeColor="text1"/>
                <w:sz w:val="20"/>
                <w:szCs w:val="20"/>
                <w:u w:val="single"/>
              </w:rPr>
              <w:t xml:space="preserve"> potwierdzające kompatybilność oferowanych urządzeń.</w:t>
            </w:r>
          </w:p>
        </w:tc>
        <w:tc>
          <w:tcPr>
            <w:tcW w:w="1559" w:type="dxa"/>
            <w:vAlign w:val="bottom"/>
          </w:tcPr>
          <w:p w:rsidR="00902A97" w:rsidRPr="002C0BAD" w:rsidRDefault="00902A97" w:rsidP="0028258B">
            <w:pPr>
              <w:spacing w:line="288" w:lineRule="auto"/>
              <w:jc w:val="center"/>
              <w:rPr>
                <w:rFonts w:ascii="Times New Roman" w:eastAsia="Times New Roman" w:hAnsi="Times New Roman" w:cs="Times New Roman"/>
                <w:color w:val="000000" w:themeColor="text1"/>
                <w:sz w:val="20"/>
                <w:szCs w:val="20"/>
                <w:lang w:eastAsia="pl-PL"/>
              </w:rPr>
            </w:pPr>
            <w:r w:rsidRPr="002C0BAD">
              <w:rPr>
                <w:rFonts w:ascii="Times New Roman" w:eastAsia="Times New Roman" w:hAnsi="Times New Roman" w:cs="Times New Roman"/>
                <w:color w:val="000000" w:themeColor="text1"/>
                <w:sz w:val="20"/>
                <w:szCs w:val="20"/>
                <w:lang w:eastAsia="pl-PL"/>
              </w:rPr>
              <w:t>podać</w:t>
            </w:r>
          </w:p>
        </w:tc>
        <w:tc>
          <w:tcPr>
            <w:tcW w:w="3686" w:type="dxa"/>
          </w:tcPr>
          <w:p w:rsidR="00902A97" w:rsidRPr="002C0BAD" w:rsidRDefault="00902A97" w:rsidP="00902A97">
            <w:pPr>
              <w:spacing w:line="288" w:lineRule="auto"/>
              <w:jc w:val="both"/>
              <w:rPr>
                <w:rFonts w:ascii="Times New Roman" w:hAnsi="Times New Roman" w:cs="Times New Roman"/>
                <w:color w:val="000000" w:themeColor="text1"/>
                <w:sz w:val="20"/>
                <w:szCs w:val="20"/>
              </w:rPr>
            </w:pPr>
          </w:p>
        </w:tc>
        <w:tc>
          <w:tcPr>
            <w:tcW w:w="2800" w:type="dxa"/>
          </w:tcPr>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Tak – 10 pkt.</w:t>
            </w:r>
          </w:p>
          <w:p w:rsidR="00902A97" w:rsidRPr="002C0BAD" w:rsidRDefault="00902A97" w:rsidP="00902A97">
            <w:pPr>
              <w:spacing w:line="288" w:lineRule="auto"/>
              <w:rPr>
                <w:rFonts w:ascii="Times New Roman" w:hAnsi="Times New Roman" w:cs="Times New Roman"/>
                <w:color w:val="000000" w:themeColor="text1"/>
                <w:sz w:val="20"/>
                <w:szCs w:val="20"/>
              </w:rPr>
            </w:pPr>
            <w:r w:rsidRPr="002C0BAD">
              <w:rPr>
                <w:rFonts w:ascii="Times New Roman" w:hAnsi="Times New Roman" w:cs="Times New Roman"/>
                <w:color w:val="000000" w:themeColor="text1"/>
                <w:sz w:val="20"/>
                <w:szCs w:val="20"/>
              </w:rPr>
              <w:t>Nie – 0 pkt.</w:t>
            </w:r>
          </w:p>
        </w:tc>
      </w:tr>
    </w:tbl>
    <w:p w:rsidR="005C2DB3" w:rsidRPr="002C0BAD" w:rsidRDefault="005C2DB3">
      <w:pPr>
        <w:rPr>
          <w:rFonts w:ascii="Times New Roman" w:hAnsi="Times New Roman" w:cs="Times New Roman"/>
          <w:color w:val="000000" w:themeColor="text1"/>
          <w:sz w:val="20"/>
          <w:szCs w:val="20"/>
        </w:rPr>
      </w:pPr>
    </w:p>
    <w:p w:rsidR="002848BA" w:rsidRPr="002C0BAD" w:rsidRDefault="002848BA">
      <w:pPr>
        <w:rPr>
          <w:rFonts w:ascii="Times New Roman" w:hAnsi="Times New Roman" w:cs="Times New Roman"/>
          <w:color w:val="000000" w:themeColor="text1"/>
          <w:sz w:val="20"/>
          <w:szCs w:val="20"/>
        </w:rPr>
      </w:pPr>
    </w:p>
    <w:p w:rsidR="002848BA" w:rsidRPr="002C0BAD" w:rsidRDefault="002848BA">
      <w:pPr>
        <w:rPr>
          <w:rFonts w:ascii="Times New Roman" w:hAnsi="Times New Roman" w:cs="Times New Roman"/>
          <w:color w:val="000000" w:themeColor="text1"/>
          <w:sz w:val="20"/>
          <w:szCs w:val="20"/>
        </w:rPr>
      </w:pPr>
    </w:p>
    <w:p w:rsidR="002848BA" w:rsidRPr="002C0BAD" w:rsidRDefault="002848BA">
      <w:pPr>
        <w:rPr>
          <w:rFonts w:ascii="Times New Roman" w:hAnsi="Times New Roman" w:cs="Times New Roman"/>
          <w:color w:val="000000" w:themeColor="text1"/>
          <w:sz w:val="20"/>
          <w:szCs w:val="20"/>
        </w:rPr>
      </w:pPr>
    </w:p>
    <w:p w:rsidR="002848BA" w:rsidRPr="002C0BAD" w:rsidRDefault="002848BA">
      <w:pPr>
        <w:rPr>
          <w:rFonts w:ascii="Times New Roman" w:hAnsi="Times New Roman" w:cs="Times New Roman"/>
          <w:color w:val="000000" w:themeColor="text1"/>
          <w:sz w:val="20"/>
          <w:szCs w:val="20"/>
        </w:rPr>
      </w:pPr>
    </w:p>
    <w:p w:rsidR="00023411" w:rsidRPr="002C0BAD" w:rsidRDefault="00023411" w:rsidP="00023411">
      <w:pPr>
        <w:spacing w:line="288" w:lineRule="auto"/>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WARUNKI GWARANCJI I SERWISU</w:t>
      </w:r>
    </w:p>
    <w:tbl>
      <w:tblPr>
        <w:tblW w:w="14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535"/>
        <w:gridCol w:w="1984"/>
        <w:gridCol w:w="4535"/>
        <w:gridCol w:w="2836"/>
      </w:tblGrid>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hideMark/>
          </w:tcPr>
          <w:p w:rsidR="00023411" w:rsidRPr="002C0BAD" w:rsidRDefault="00023411" w:rsidP="00887E99">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l.p.</w:t>
            </w:r>
          </w:p>
        </w:tc>
        <w:tc>
          <w:tcPr>
            <w:tcW w:w="4535" w:type="dxa"/>
            <w:tcBorders>
              <w:top w:val="single" w:sz="4" w:space="0" w:color="auto"/>
              <w:left w:val="single" w:sz="4" w:space="0" w:color="auto"/>
              <w:bottom w:val="single" w:sz="4" w:space="0" w:color="auto"/>
              <w:right w:val="single" w:sz="4" w:space="0" w:color="auto"/>
            </w:tcBorders>
            <w:vAlign w:val="bottom"/>
            <w:hideMark/>
          </w:tcPr>
          <w:p w:rsidR="00023411" w:rsidRPr="002C0BAD" w:rsidRDefault="00023411" w:rsidP="00887E99">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w:t>
            </w:r>
          </w:p>
        </w:tc>
        <w:tc>
          <w:tcPr>
            <w:tcW w:w="1984" w:type="dxa"/>
            <w:tcBorders>
              <w:top w:val="single" w:sz="4" w:space="0" w:color="auto"/>
              <w:left w:val="single" w:sz="4" w:space="0" w:color="auto"/>
              <w:bottom w:val="single" w:sz="4" w:space="0" w:color="auto"/>
              <w:right w:val="single" w:sz="4" w:space="0" w:color="auto"/>
            </w:tcBorders>
            <w:vAlign w:val="center"/>
            <w:hideMark/>
          </w:tcPr>
          <w:p w:rsidR="00023411" w:rsidRPr="002C0BAD" w:rsidRDefault="00023411" w:rsidP="00887E99">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 wymagany</w:t>
            </w:r>
          </w:p>
        </w:tc>
        <w:tc>
          <w:tcPr>
            <w:tcW w:w="4535" w:type="dxa"/>
            <w:tcBorders>
              <w:top w:val="single" w:sz="4" w:space="0" w:color="auto"/>
              <w:left w:val="single" w:sz="4" w:space="0" w:color="auto"/>
              <w:bottom w:val="single" w:sz="4" w:space="0" w:color="auto"/>
              <w:right w:val="single" w:sz="4" w:space="0" w:color="auto"/>
            </w:tcBorders>
            <w:vAlign w:val="center"/>
          </w:tcPr>
          <w:p w:rsidR="00023411" w:rsidRPr="002C0BAD" w:rsidRDefault="00023411" w:rsidP="00887E99">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parametr oferowany</w:t>
            </w:r>
          </w:p>
        </w:tc>
        <w:tc>
          <w:tcPr>
            <w:tcW w:w="2836" w:type="dxa"/>
            <w:tcBorders>
              <w:top w:val="single" w:sz="4" w:space="0" w:color="auto"/>
              <w:left w:val="single" w:sz="4" w:space="0" w:color="auto"/>
              <w:bottom w:val="single" w:sz="4" w:space="0" w:color="auto"/>
              <w:right w:val="single" w:sz="4" w:space="0" w:color="auto"/>
            </w:tcBorders>
            <w:vAlign w:val="center"/>
            <w:hideMark/>
          </w:tcPr>
          <w:p w:rsidR="00023411" w:rsidRPr="002C0BAD" w:rsidRDefault="00023411" w:rsidP="00887E99">
            <w:pPr>
              <w:spacing w:line="288" w:lineRule="auto"/>
              <w:jc w:val="center"/>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
                <w:bCs/>
                <w:color w:val="000000" w:themeColor="text1"/>
                <w:sz w:val="20"/>
                <w:szCs w:val="20"/>
              </w:rPr>
              <w:t>Ocena pkt.</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Gwarancja na system oraz wszystkich współpracujących z nim urządzeń i osprzętu [miesiące]</w:t>
            </w:r>
          </w:p>
          <w:p w:rsidR="00AF6A13" w:rsidRPr="002C0BAD" w:rsidRDefault="00AF6A13" w:rsidP="00AF6A13">
            <w:pPr>
              <w:pStyle w:val="Standard"/>
              <w:snapToGrid w:val="0"/>
              <w:spacing w:line="288" w:lineRule="auto"/>
              <w:rPr>
                <w:rFonts w:cs="Times New Roman"/>
                <w:color w:val="000000" w:themeColor="text1"/>
                <w:sz w:val="20"/>
                <w:szCs w:val="20"/>
              </w:rPr>
            </w:pPr>
          </w:p>
          <w:p w:rsidR="00AF6A13" w:rsidRPr="00C92A93" w:rsidRDefault="00AF6A13" w:rsidP="00AF6A13">
            <w:pPr>
              <w:pStyle w:val="Standard"/>
              <w:snapToGrid w:val="0"/>
              <w:spacing w:line="288" w:lineRule="auto"/>
              <w:rPr>
                <w:rFonts w:cs="Times New Roman"/>
                <w:i/>
                <w:color w:val="000000" w:themeColor="text1"/>
                <w:sz w:val="20"/>
                <w:szCs w:val="20"/>
              </w:rPr>
            </w:pPr>
            <w:r w:rsidRPr="00C92A93">
              <w:rPr>
                <w:rFonts w:cs="Times New Roman"/>
                <w:bCs/>
                <w:i/>
                <w:iCs/>
                <w:color w:val="000000" w:themeColor="text1"/>
                <w:sz w:val="20"/>
                <w:szCs w:val="20"/>
              </w:rPr>
              <w:t xml:space="preserve">UWAGA - należy podać pełną liczbę miesięcy. Wartości ułamkowe będą przy ocenie zaokrąglane w dół – do pełnych miesięcy. Zamawiający zastrzega, że okres rękojmi musi być równy okresowi gwarancji. </w:t>
            </w:r>
            <w:r w:rsidRPr="00C92A93">
              <w:rPr>
                <w:rFonts w:cs="Times New Roman"/>
                <w:bCs/>
                <w:i/>
                <w:iCs/>
                <w:color w:val="000000" w:themeColor="text1"/>
                <w:sz w:val="20"/>
                <w:szCs w:val="20"/>
              </w:rPr>
              <w:lastRenderedPageBreak/>
              <w:t>Zamawiający zastrzega, że górną granicą punktacji gwarancji będzie 5 lat</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&gt;= 24</w:t>
            </w:r>
          </w:p>
        </w:tc>
        <w:tc>
          <w:tcPr>
            <w:tcW w:w="4535"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spacing w:line="288" w:lineRule="auto"/>
              <w:jc w:val="center"/>
              <w:rPr>
                <w:rFonts w:ascii="Times New Roman" w:eastAsia="Times New Roman" w:hAnsi="Times New Roman" w:cs="Times New Roman"/>
                <w:b/>
                <w:bCs/>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spacing w:line="288" w:lineRule="auto"/>
              <w:jc w:val="both"/>
              <w:rPr>
                <w:rFonts w:ascii="Times New Roman" w:eastAsia="Times New Roman" w:hAnsi="Times New Roman" w:cs="Times New Roman"/>
                <w:bCs/>
                <w:color w:val="000000" w:themeColor="text1"/>
                <w:sz w:val="20"/>
                <w:szCs w:val="20"/>
              </w:rPr>
            </w:pPr>
            <w:r w:rsidRPr="002C0BAD">
              <w:rPr>
                <w:rFonts w:ascii="Times New Roman" w:eastAsia="Times New Roman" w:hAnsi="Times New Roman" w:cs="Times New Roman"/>
                <w:bCs/>
                <w:color w:val="000000" w:themeColor="text1"/>
                <w:sz w:val="20"/>
                <w:szCs w:val="20"/>
              </w:rPr>
              <w:t>najdłuższy okres – 10 pkt.,</w:t>
            </w:r>
          </w:p>
          <w:p w:rsidR="00AF6A13" w:rsidRPr="002C0BAD" w:rsidRDefault="00AF6A13" w:rsidP="00AF6A13">
            <w:pPr>
              <w:spacing w:line="288" w:lineRule="auto"/>
              <w:jc w:val="both"/>
              <w:rPr>
                <w:rFonts w:ascii="Times New Roman" w:eastAsia="Times New Roman" w:hAnsi="Times New Roman" w:cs="Times New Roman"/>
                <w:b/>
                <w:bCs/>
                <w:color w:val="000000" w:themeColor="text1"/>
                <w:sz w:val="20"/>
                <w:szCs w:val="20"/>
              </w:rPr>
            </w:pPr>
            <w:r w:rsidRPr="002C0BAD">
              <w:rPr>
                <w:rFonts w:ascii="Times New Roman" w:eastAsia="Times New Roman" w:hAnsi="Times New Roman" w:cs="Times New Roman"/>
                <w:bCs/>
                <w:color w:val="000000" w:themeColor="text1"/>
                <w:sz w:val="20"/>
                <w:szCs w:val="20"/>
              </w:rPr>
              <w:t>inne – proporcjonalnie mniej (względem najdłuższej zaoferowanej gwarancji)</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both"/>
              <w:rPr>
                <w:rFonts w:cs="Times New Roman"/>
                <w:color w:val="000000" w:themeColor="text1"/>
                <w:sz w:val="20"/>
                <w:szCs w:val="20"/>
              </w:rPr>
            </w:pPr>
            <w:r w:rsidRPr="002C0BAD">
              <w:rPr>
                <w:rFonts w:cs="Times New Roman"/>
                <w:color w:val="000000" w:themeColor="text1"/>
                <w:sz w:val="20"/>
                <w:szCs w:val="20"/>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Liczba przeglądów okresowych niezbędnych do wykonywania po upływie gwarancji dla potwierdzenia bezpiecznej eksploatacji aparatu – podać, opisać zakres.</w:t>
            </w:r>
          </w:p>
          <w:p w:rsidR="00AF6A13" w:rsidRPr="002C0BAD" w:rsidRDefault="00AF6A13" w:rsidP="00AF6A13">
            <w:pPr>
              <w:pStyle w:val="Standard"/>
              <w:snapToGrid w:val="0"/>
              <w:spacing w:line="288" w:lineRule="auto"/>
              <w:rPr>
                <w:rFonts w:cs="Times New Roman"/>
                <w:color w:val="000000" w:themeColor="text1"/>
                <w:sz w:val="20"/>
                <w:szCs w:val="20"/>
              </w:rPr>
            </w:pPr>
          </w:p>
          <w:p w:rsidR="00AF6A13" w:rsidRPr="002C0BAD" w:rsidRDefault="00AF6A13" w:rsidP="00AF6A13">
            <w:pPr>
              <w:pStyle w:val="Standard"/>
              <w:snapToGrid w:val="0"/>
              <w:spacing w:line="288" w:lineRule="auto"/>
              <w:rPr>
                <w:rFonts w:cs="Times New Roman"/>
                <w:i/>
                <w:color w:val="000000" w:themeColor="text1"/>
                <w:sz w:val="20"/>
                <w:szCs w:val="20"/>
              </w:rPr>
            </w:pPr>
            <w:r w:rsidRPr="002C0BAD">
              <w:rPr>
                <w:rFonts w:cs="Times New Roman"/>
                <w:i/>
                <w:color w:val="000000" w:themeColor="text1"/>
                <w:sz w:val="20"/>
                <w:szCs w:val="20"/>
              </w:rPr>
              <w:t>UWAGA – wykonawcę obowiązuje wykonywanie przeglądów okresowych w wymaganej liczbie w okresie gwarancji (w cenie oferty, bez żadnych dodatkowych kosztów), o ile są one wymagane przez producenta.</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podać</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Każda naprawa gwarancyjna powoduje przedłużenie okresu gwarancji o liczbę dni  wyłączenia sprzętu z eksploatacji.</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Maksymalny czas naprawy  nie może przekroczyć 10 dni roboczych, w przypadku naprawy dłuższej niż 5 dni roboczych – aparat zastępczy o min. identycznych parametrach lub lepszy</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Wymiana podzespołu na nowy – natychmiastowa lub co najwyżej po pierwszej nieskutecznej próbie jego naprawy</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 xml:space="preserve">Możliwość zgłoszeń 24 </w:t>
            </w:r>
            <w:proofErr w:type="spellStart"/>
            <w:r w:rsidRPr="002C0BAD">
              <w:rPr>
                <w:rFonts w:cs="Times New Roman"/>
                <w:color w:val="000000" w:themeColor="text1"/>
                <w:sz w:val="20"/>
                <w:szCs w:val="20"/>
              </w:rPr>
              <w:t>godz</w:t>
            </w:r>
            <w:proofErr w:type="spellEnd"/>
            <w:r w:rsidRPr="002C0BAD">
              <w:rPr>
                <w:rFonts w:cs="Times New Roman"/>
                <w:color w:val="000000" w:themeColor="text1"/>
                <w:sz w:val="20"/>
                <w:szCs w:val="20"/>
              </w:rPr>
              <w:t>/dobę, 365 dni/rok</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Czas reakcji serwisu (przyjęte zgłoszenie – podjęta naprawa) 2 dni robocze.</w:t>
            </w:r>
          </w:p>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Jako "podjęta naprawa" liczy się obecność uprawnionego  pracownika wykonawcy przy uszkodzonym aparacie lub jego odbiór na koszt wykonawcy (np. pocztą kurierską)</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 podać</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Szkolenia dla personelu  medycznego z zakresu obsługi urządzenia (5 osób) w momencie jego instalacji i odbioru; w razie potrzeby możliwość stałego wsparcia aplikacyjnego w początkowym okresie pracy urządzeń (dodatkowe szkolenie, dodatkowa grupa osób, konsultacje, itp. również 5 osób) – potwierdzone certyfikatem.</w:t>
            </w:r>
          </w:p>
          <w:p w:rsidR="00AF6A13" w:rsidRPr="002C0BAD" w:rsidRDefault="00AF6A13" w:rsidP="00AF6A13">
            <w:pPr>
              <w:pStyle w:val="Standard"/>
              <w:snapToGrid w:val="0"/>
              <w:spacing w:line="288" w:lineRule="auto"/>
              <w:rPr>
                <w:rFonts w:cs="Times New Roman"/>
                <w:color w:val="000000" w:themeColor="text1"/>
                <w:sz w:val="20"/>
                <w:szCs w:val="20"/>
              </w:rPr>
            </w:pPr>
          </w:p>
          <w:p w:rsidR="00AF6A13" w:rsidRPr="002C0BAD" w:rsidRDefault="00AF6A13" w:rsidP="00AF6A13">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lastRenderedPageBreak/>
              <w:t>uwaga (1) - Należy przewidzieć szkolenia w wymiarze do 2 dni roboczych oraz zapewnić możliwość stałego wsparcia aplikacyjnego</w:t>
            </w:r>
          </w:p>
          <w:p w:rsidR="00AF6A13" w:rsidRPr="002C0BAD" w:rsidRDefault="00AF6A13" w:rsidP="00AF6A13">
            <w:pPr>
              <w:pStyle w:val="Standard"/>
              <w:snapToGrid w:val="0"/>
              <w:spacing w:line="288" w:lineRule="auto"/>
              <w:jc w:val="both"/>
              <w:rPr>
                <w:rFonts w:cs="Times New Roman"/>
                <w:i/>
                <w:color w:val="000000" w:themeColor="text1"/>
                <w:sz w:val="20"/>
                <w:szCs w:val="20"/>
              </w:rPr>
            </w:pPr>
          </w:p>
          <w:p w:rsidR="00AF6A13" w:rsidRPr="002C0BAD" w:rsidRDefault="00AF6A13" w:rsidP="00AF6A13">
            <w:pPr>
              <w:pStyle w:val="Akapitzlist"/>
              <w:spacing w:after="0" w:line="288" w:lineRule="auto"/>
              <w:ind w:left="0"/>
              <w:jc w:val="both"/>
              <w:rPr>
                <w:rFonts w:ascii="Times New Roman" w:eastAsia="Times New Roman" w:hAnsi="Times New Roman" w:cs="Times New Roman"/>
                <w:color w:val="000000" w:themeColor="text1"/>
                <w:sz w:val="20"/>
                <w:szCs w:val="20"/>
              </w:rPr>
            </w:pPr>
            <w:r w:rsidRPr="002C0BAD">
              <w:rPr>
                <w:rFonts w:ascii="Times New Roman" w:hAnsi="Times New Roman" w:cs="Times New Roman"/>
                <w:i/>
                <w:color w:val="000000" w:themeColor="text1"/>
                <w:sz w:val="20"/>
                <w:szCs w:val="20"/>
              </w:rPr>
              <w:t>uwaga (2) - Jako stałe wsparcie aplikacyjne rozumie się porady, konsultacje, wskazówki, itp. czynności niezbędne do wykorzystywania przez personel wszystkich zaoferowanych w aparacie opcji bez ponoszenia przez Zamawiającego dodatkowych kosztów.</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Szkolenia dla personelu technicznego (pracownicy Działu Aparatury – 1 osoba) z zakresu diagnostyki stanu technicznego i wykonywania czynności konserwacyjnych, naprawczych i przeglądowych; w razie potrzeby możliwość stałego wsparcia aplikacyjnego w początkowym okresie pracy urządzeń (dodatkowe szkolenie, dodatkowa grupa osób, konsultacje, itp., również 1 osoba) – potwierdzone certyfikatem</w:t>
            </w:r>
          </w:p>
          <w:p w:rsidR="00AF6A13" w:rsidRPr="002C0BAD" w:rsidRDefault="00AF6A13" w:rsidP="00AF6A13">
            <w:pPr>
              <w:pStyle w:val="Standard"/>
              <w:snapToGrid w:val="0"/>
              <w:spacing w:line="288" w:lineRule="auto"/>
              <w:jc w:val="both"/>
              <w:rPr>
                <w:rFonts w:cs="Times New Roman"/>
                <w:color w:val="000000" w:themeColor="text1"/>
                <w:sz w:val="20"/>
                <w:szCs w:val="20"/>
              </w:rPr>
            </w:pPr>
          </w:p>
          <w:p w:rsidR="00AF6A13" w:rsidRPr="002C0BAD" w:rsidRDefault="00AF6A13" w:rsidP="00AF6A13">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t>uwaga (1) - Należy przewidzieć szkolenia w wymiarze do 2 dni roboczych oraz zapewnić możliwość stałego wsparcia aplikacyjnego</w:t>
            </w:r>
          </w:p>
          <w:p w:rsidR="00AF6A13" w:rsidRPr="002C0BAD" w:rsidRDefault="00AF6A13" w:rsidP="00AF6A13">
            <w:pPr>
              <w:pStyle w:val="Standard"/>
              <w:snapToGrid w:val="0"/>
              <w:spacing w:line="288" w:lineRule="auto"/>
              <w:jc w:val="both"/>
              <w:rPr>
                <w:rFonts w:cs="Times New Roman"/>
                <w:i/>
                <w:color w:val="000000" w:themeColor="text1"/>
                <w:sz w:val="20"/>
                <w:szCs w:val="20"/>
              </w:rPr>
            </w:pPr>
          </w:p>
          <w:p w:rsidR="00AF6A13" w:rsidRPr="002C0BAD" w:rsidRDefault="00AF6A13" w:rsidP="00AF6A13">
            <w:pPr>
              <w:pStyle w:val="Standard"/>
              <w:snapToGrid w:val="0"/>
              <w:spacing w:line="288" w:lineRule="auto"/>
              <w:jc w:val="both"/>
              <w:rPr>
                <w:rFonts w:cs="Times New Roman"/>
                <w:i/>
                <w:color w:val="000000" w:themeColor="text1"/>
                <w:sz w:val="20"/>
                <w:szCs w:val="20"/>
              </w:rPr>
            </w:pPr>
            <w:r w:rsidRPr="002C0BAD">
              <w:rPr>
                <w:rFonts w:cs="Times New Roman"/>
                <w:i/>
                <w:color w:val="000000" w:themeColor="text1"/>
                <w:sz w:val="20"/>
                <w:szCs w:val="20"/>
              </w:rPr>
              <w:t xml:space="preserve">uwaga (2) - Jako stałe wsparcie aplikacyjne rozumie się porady, konsultacje, wskazówki, itp. czynności niezbędne do wykorzystywania przez personel </w:t>
            </w:r>
            <w:r w:rsidRPr="002C0BAD">
              <w:rPr>
                <w:rFonts w:cs="Times New Roman"/>
                <w:i/>
                <w:color w:val="000000" w:themeColor="text1"/>
                <w:sz w:val="20"/>
                <w:szCs w:val="20"/>
              </w:rPr>
              <w:lastRenderedPageBreak/>
              <w:t>wszystkich zaoferowanych w aparacie opcji bez ponoszenia przez Zamawiającego dodatkowych kosztów.</w:t>
            </w:r>
          </w:p>
          <w:p w:rsidR="00AF6A13" w:rsidRPr="002C0BAD" w:rsidRDefault="00AF6A13" w:rsidP="00AF6A13">
            <w:pPr>
              <w:pStyle w:val="Standard"/>
              <w:snapToGrid w:val="0"/>
              <w:spacing w:line="288" w:lineRule="auto"/>
              <w:jc w:val="both"/>
              <w:rPr>
                <w:rFonts w:cs="Times New Roman"/>
                <w:i/>
                <w:color w:val="000000" w:themeColor="text1"/>
                <w:sz w:val="20"/>
                <w:szCs w:val="20"/>
              </w:rPr>
            </w:pPr>
          </w:p>
          <w:p w:rsidR="00AF6A13" w:rsidRPr="002C0BAD" w:rsidRDefault="00AF6A13" w:rsidP="00AF6A13">
            <w:pPr>
              <w:pStyle w:val="Standard"/>
              <w:snapToGrid w:val="0"/>
              <w:spacing w:line="288" w:lineRule="auto"/>
              <w:jc w:val="both"/>
              <w:rPr>
                <w:rFonts w:cs="Times New Roman"/>
                <w:color w:val="000000" w:themeColor="text1"/>
                <w:sz w:val="20"/>
                <w:szCs w:val="20"/>
              </w:rPr>
            </w:pPr>
            <w:r w:rsidRPr="002C0BAD">
              <w:rPr>
                <w:rFonts w:cs="Times New Roman"/>
                <w:i/>
                <w:color w:val="000000" w:themeColor="text1"/>
                <w:sz w:val="20"/>
                <w:szCs w:val="20"/>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lastRenderedPageBreak/>
              <w:t>tak</w:t>
            </w:r>
          </w:p>
          <w:p w:rsidR="00AF6A13" w:rsidRPr="002C0BAD" w:rsidRDefault="00AF6A13" w:rsidP="00AF6A13">
            <w:pPr>
              <w:pStyle w:val="Standard"/>
              <w:snapToGrid w:val="0"/>
              <w:spacing w:line="288" w:lineRule="auto"/>
              <w:jc w:val="center"/>
              <w:rPr>
                <w:rFonts w:cs="Times New Roman"/>
                <w:color w:val="000000" w:themeColor="text1"/>
                <w:sz w:val="20"/>
                <w:szCs w:val="20"/>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both"/>
              <w:rPr>
                <w:rFonts w:cs="Times New Roman"/>
                <w:b/>
                <w:color w:val="000000" w:themeColor="text1"/>
                <w:sz w:val="20"/>
                <w:szCs w:val="20"/>
              </w:rPr>
            </w:pPr>
            <w:r w:rsidRPr="002C0BAD">
              <w:rPr>
                <w:rFonts w:cs="Times New Roman"/>
                <w:color w:val="000000" w:themeColor="text1"/>
                <w:sz w:val="20"/>
                <w:szCs w:val="20"/>
              </w:rPr>
              <w:t xml:space="preserve">Aparat jest lub będzie pozbawiony kodów serwisowych i innych zabezpieczeń, które po upływie okresu gwarancji 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r w:rsidR="002C0BAD"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bookmarkStart w:id="0" w:name="_GoBack"/>
            <w:bookmarkEnd w:id="0"/>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Dokumentacja serwisowa i/lub oprogramowanie serwisowe na potrzeby Zamawiającego (dokumentacja zapewni co najmniej pełną diagnostykę urządzenia, wykonywanie drobnych napraw, regulacji, kalibracji, etc.)</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 -</w:t>
            </w:r>
          </w:p>
        </w:tc>
      </w:tr>
      <w:tr w:rsidR="00AF6A13" w:rsidRPr="002C0BAD" w:rsidTr="00887E99">
        <w:tc>
          <w:tcPr>
            <w:tcW w:w="676" w:type="dxa"/>
            <w:tcBorders>
              <w:top w:val="single" w:sz="4" w:space="0" w:color="auto"/>
              <w:left w:val="single" w:sz="4" w:space="0" w:color="auto"/>
              <w:bottom w:val="single" w:sz="4" w:space="0" w:color="auto"/>
              <w:right w:val="single" w:sz="4" w:space="0" w:color="auto"/>
            </w:tcBorders>
            <w:vAlign w:val="center"/>
          </w:tcPr>
          <w:p w:rsidR="00AF6A13" w:rsidRPr="002C0BAD" w:rsidRDefault="00AF6A13" w:rsidP="00AF6A13">
            <w:pPr>
              <w:pStyle w:val="Akapitzlist"/>
              <w:numPr>
                <w:ilvl w:val="0"/>
                <w:numId w:val="4"/>
              </w:numPr>
              <w:spacing w:after="0" w:line="288" w:lineRule="auto"/>
              <w:ind w:left="0" w:firstLine="0"/>
              <w:jc w:val="center"/>
              <w:rPr>
                <w:rFonts w:ascii="Times New Roman" w:eastAsia="Times New Roman" w:hAnsi="Times New Roman" w:cs="Times New Roman"/>
                <w:bCs/>
                <w:color w:val="000000" w:themeColor="text1"/>
                <w:sz w:val="20"/>
                <w:szCs w:val="20"/>
                <w:lang w:eastAsia="pl-PL"/>
              </w:rPr>
            </w:pP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rPr>
                <w:rFonts w:cs="Times New Roman"/>
                <w:color w:val="000000" w:themeColor="text1"/>
                <w:sz w:val="20"/>
                <w:szCs w:val="20"/>
              </w:rPr>
            </w:pPr>
            <w:r w:rsidRPr="002C0BAD">
              <w:rPr>
                <w:rFonts w:cs="Times New Roman"/>
                <w:color w:val="000000" w:themeColor="text1"/>
                <w:sz w:val="20"/>
                <w:szCs w:val="20"/>
              </w:rPr>
              <w:t>Instrukcja obsługi w języku polskim w formie elektronicznej i drukowanej.</w:t>
            </w:r>
          </w:p>
        </w:tc>
        <w:tc>
          <w:tcPr>
            <w:tcW w:w="1984"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snapToGrid w:val="0"/>
              <w:spacing w:line="288" w:lineRule="auto"/>
              <w:jc w:val="center"/>
              <w:rPr>
                <w:rFonts w:cs="Times New Roman"/>
                <w:color w:val="000000" w:themeColor="text1"/>
                <w:sz w:val="20"/>
                <w:szCs w:val="20"/>
              </w:rPr>
            </w:pPr>
            <w:r w:rsidRPr="002C0BAD">
              <w:rPr>
                <w:rFonts w:cs="Times New Roman"/>
                <w:color w:val="000000" w:themeColor="text1"/>
                <w:sz w:val="20"/>
                <w:szCs w:val="20"/>
              </w:rPr>
              <w:t>tak</w:t>
            </w:r>
          </w:p>
        </w:tc>
        <w:tc>
          <w:tcPr>
            <w:tcW w:w="4535"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Standard"/>
              <w:autoSpaceDE w:val="0"/>
              <w:snapToGrid w:val="0"/>
              <w:spacing w:line="288" w:lineRule="auto"/>
              <w:jc w:val="center"/>
              <w:rPr>
                <w:rFonts w:cs="Times New Roman"/>
                <w:color w:val="000000" w:themeColor="text1"/>
                <w:sz w:val="20"/>
                <w:szCs w:val="20"/>
                <w:lang w:val="en-US"/>
              </w:rPr>
            </w:pPr>
          </w:p>
        </w:tc>
        <w:tc>
          <w:tcPr>
            <w:tcW w:w="2836" w:type="dxa"/>
            <w:tcBorders>
              <w:top w:val="single" w:sz="4" w:space="0" w:color="auto"/>
              <w:left w:val="single" w:sz="4" w:space="0" w:color="auto"/>
              <w:bottom w:val="single" w:sz="4" w:space="0" w:color="auto"/>
              <w:right w:val="single" w:sz="4" w:space="0" w:color="auto"/>
            </w:tcBorders>
          </w:tcPr>
          <w:p w:rsidR="00AF6A13" w:rsidRPr="002C0BAD" w:rsidRDefault="00AF6A13" w:rsidP="00AF6A13">
            <w:pPr>
              <w:pStyle w:val="Zawartotabeli"/>
              <w:snapToGrid w:val="0"/>
              <w:spacing w:line="288" w:lineRule="auto"/>
              <w:jc w:val="center"/>
              <w:rPr>
                <w:color w:val="000000" w:themeColor="text1"/>
                <w:sz w:val="20"/>
                <w:szCs w:val="20"/>
              </w:rPr>
            </w:pPr>
            <w:r w:rsidRPr="002C0BAD">
              <w:rPr>
                <w:color w:val="000000" w:themeColor="text1"/>
                <w:sz w:val="20"/>
                <w:szCs w:val="20"/>
              </w:rPr>
              <w:t xml:space="preserve"> - - -</w:t>
            </w:r>
          </w:p>
        </w:tc>
      </w:tr>
    </w:tbl>
    <w:p w:rsidR="00023411" w:rsidRPr="002C0BAD" w:rsidRDefault="00023411" w:rsidP="00023411">
      <w:pPr>
        <w:rPr>
          <w:rFonts w:ascii="Times New Roman" w:hAnsi="Times New Roman" w:cs="Times New Roman"/>
          <w:color w:val="000000" w:themeColor="text1"/>
          <w:sz w:val="20"/>
          <w:szCs w:val="20"/>
        </w:rPr>
      </w:pPr>
    </w:p>
    <w:p w:rsidR="00023411" w:rsidRPr="002C0BAD" w:rsidRDefault="00023411">
      <w:pPr>
        <w:rPr>
          <w:rFonts w:ascii="Times New Roman" w:hAnsi="Times New Roman" w:cs="Times New Roman"/>
          <w:color w:val="000000" w:themeColor="text1"/>
          <w:sz w:val="20"/>
          <w:szCs w:val="20"/>
        </w:rPr>
      </w:pPr>
    </w:p>
    <w:p w:rsidR="00887E99" w:rsidRPr="002C0BAD" w:rsidRDefault="00887E99">
      <w:pPr>
        <w:rPr>
          <w:rFonts w:ascii="Times New Roman" w:hAnsi="Times New Roman" w:cs="Times New Roman"/>
          <w:color w:val="000000" w:themeColor="text1"/>
          <w:sz w:val="20"/>
          <w:szCs w:val="20"/>
        </w:rPr>
      </w:pPr>
    </w:p>
    <w:sectPr w:rsidR="00887E99" w:rsidRPr="002C0BAD" w:rsidSect="00561D3F">
      <w:headerReference w:type="default" r:id="rId7"/>
      <w:foot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703" w:rsidRDefault="00AF7703" w:rsidP="00023411">
      <w:pPr>
        <w:spacing w:after="0" w:line="240" w:lineRule="auto"/>
      </w:pPr>
      <w:r>
        <w:separator/>
      </w:r>
    </w:p>
  </w:endnote>
  <w:endnote w:type="continuationSeparator" w:id="0">
    <w:p w:rsidR="00AF7703" w:rsidRDefault="00AF7703" w:rsidP="000234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099931"/>
      <w:docPartObj>
        <w:docPartGallery w:val="Page Numbers (Bottom of Page)"/>
        <w:docPartUnique/>
      </w:docPartObj>
    </w:sdtPr>
    <w:sdtEndPr/>
    <w:sdtContent>
      <w:p w:rsidR="009551C1" w:rsidRDefault="009551C1">
        <w:pPr>
          <w:pStyle w:val="Stopka"/>
          <w:jc w:val="right"/>
        </w:pPr>
        <w:r>
          <w:fldChar w:fldCharType="begin"/>
        </w:r>
        <w:r>
          <w:instrText>PAGE   \* MERGEFORMAT</w:instrText>
        </w:r>
        <w:r>
          <w:fldChar w:fldCharType="separate"/>
        </w:r>
        <w:r w:rsidR="00017D0D">
          <w:rPr>
            <w:noProof/>
          </w:rPr>
          <w:t>19</w:t>
        </w:r>
        <w:r>
          <w:fldChar w:fldCharType="end"/>
        </w:r>
      </w:p>
    </w:sdtContent>
  </w:sdt>
  <w:p w:rsidR="009551C1" w:rsidRDefault="009551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703" w:rsidRDefault="00AF7703" w:rsidP="00023411">
      <w:pPr>
        <w:spacing w:after="0" w:line="240" w:lineRule="auto"/>
      </w:pPr>
      <w:r>
        <w:separator/>
      </w:r>
    </w:p>
  </w:footnote>
  <w:footnote w:type="continuationSeparator" w:id="0">
    <w:p w:rsidR="00AF7703" w:rsidRDefault="00AF7703" w:rsidP="000234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805" w:rsidRPr="00B46C39" w:rsidRDefault="00F83805" w:rsidP="00F83805">
    <w:pPr>
      <w:pStyle w:val="Nagwek"/>
      <w:rPr>
        <w:rFonts w:ascii="Times New Roman" w:hAnsi="Times New Roman" w:cs="Times New Roman"/>
      </w:rPr>
    </w:pPr>
    <w:r w:rsidRPr="00B46C39">
      <w:rPr>
        <w:rFonts w:ascii="Times New Roman" w:hAnsi="Times New Roman" w:cs="Times New Roman"/>
        <w:noProof/>
        <w:sz w:val="18"/>
        <w:szCs w:val="18"/>
        <w:lang w:eastAsia="pl-PL"/>
      </w:rPr>
      <w:drawing>
        <wp:anchor distT="0" distB="0" distL="114300" distR="114300" simplePos="0" relativeHeight="251659264" behindDoc="0" locked="0" layoutInCell="1" allowOverlap="1" wp14:anchorId="5F28826E" wp14:editId="30208CBB">
          <wp:simplePos x="0" y="0"/>
          <wp:positionH relativeFrom="margin">
            <wp:align>center</wp:align>
          </wp:positionH>
          <wp:positionV relativeFrom="paragraph">
            <wp:posOffset>-229870</wp:posOffset>
          </wp:positionV>
          <wp:extent cx="7578090" cy="865505"/>
          <wp:effectExtent l="0" t="0" r="3810" b="0"/>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865505"/>
                  </a:xfrm>
                  <a:prstGeom prst="rect">
                    <a:avLst/>
                  </a:prstGeom>
                  <a:noFill/>
                </pic:spPr>
              </pic:pic>
            </a:graphicData>
          </a:graphic>
          <wp14:sizeRelH relativeFrom="page">
            <wp14:pctWidth>0</wp14:pctWidth>
          </wp14:sizeRelH>
          <wp14:sizeRelV relativeFrom="page">
            <wp14:pctHeight>0</wp14:pctHeight>
          </wp14:sizeRelV>
        </wp:anchor>
      </w:drawing>
    </w:r>
    <w:r w:rsidRPr="00B46C39">
      <w:rPr>
        <w:rFonts w:ascii="Times New Roman" w:hAnsi="Times New Roman" w:cs="Times New Roman"/>
      </w:rPr>
      <w:t>NSSU.DFP.271.15.2019.AM</w:t>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1a do specyfikacji</w:t>
    </w:r>
  </w:p>
  <w:p w:rsidR="00F83805" w:rsidRPr="00B46C39" w:rsidRDefault="00F83805" w:rsidP="00F83805">
    <w:pPr>
      <w:pStyle w:val="Nagwek"/>
      <w:rPr>
        <w:rFonts w:ascii="Times New Roman" w:hAnsi="Times New Roman" w:cs="Times New Roman"/>
      </w:rPr>
    </w:pP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r>
    <w:r w:rsidRPr="00B46C39">
      <w:rPr>
        <w:rFonts w:ascii="Times New Roman" w:hAnsi="Times New Roman" w:cs="Times New Roman"/>
      </w:rPr>
      <w:tab/>
      <w:t>Załącznik nr …… do umowy</w:t>
    </w:r>
  </w:p>
  <w:p w:rsidR="00F83805" w:rsidRPr="00282646" w:rsidRDefault="00F83805" w:rsidP="00F83805">
    <w:pPr>
      <w:pStyle w:val="Nagwek"/>
      <w:jc w:val="center"/>
      <w:rPr>
        <w:rFonts w:ascii="Times New Roman" w:hAnsi="Times New Roman" w:cs="Times New Roman"/>
      </w:rPr>
    </w:pPr>
    <w:r>
      <w:rPr>
        <w:rFonts w:ascii="Times New Roman" w:hAnsi="Times New Roman" w:cs="Times New Roman"/>
      </w:rPr>
      <w:t>Część 2</w:t>
    </w:r>
  </w:p>
  <w:p w:rsidR="00887E99" w:rsidRDefault="00887E9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75B24"/>
    <w:multiLevelType w:val="hybridMultilevel"/>
    <w:tmpl w:val="EEA24A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35CE5143"/>
    <w:multiLevelType w:val="hybridMultilevel"/>
    <w:tmpl w:val="9FBED9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136"/>
    <w:rsid w:val="000002C6"/>
    <w:rsid w:val="00017D0D"/>
    <w:rsid w:val="00023411"/>
    <w:rsid w:val="00041FCA"/>
    <w:rsid w:val="00061D01"/>
    <w:rsid w:val="001B2013"/>
    <w:rsid w:val="001B319C"/>
    <w:rsid w:val="001F4E01"/>
    <w:rsid w:val="002064B1"/>
    <w:rsid w:val="00220710"/>
    <w:rsid w:val="0026592A"/>
    <w:rsid w:val="0028258B"/>
    <w:rsid w:val="002848BA"/>
    <w:rsid w:val="002C0BAD"/>
    <w:rsid w:val="002C77EB"/>
    <w:rsid w:val="00345A34"/>
    <w:rsid w:val="00353762"/>
    <w:rsid w:val="003B0309"/>
    <w:rsid w:val="003B3A7C"/>
    <w:rsid w:val="004360E3"/>
    <w:rsid w:val="0045532B"/>
    <w:rsid w:val="004A0516"/>
    <w:rsid w:val="005013EC"/>
    <w:rsid w:val="00502B87"/>
    <w:rsid w:val="00561D3F"/>
    <w:rsid w:val="00573304"/>
    <w:rsid w:val="005C2DB3"/>
    <w:rsid w:val="005C506A"/>
    <w:rsid w:val="006B6CDA"/>
    <w:rsid w:val="006C0127"/>
    <w:rsid w:val="006D7468"/>
    <w:rsid w:val="006F70F9"/>
    <w:rsid w:val="007322F4"/>
    <w:rsid w:val="00751136"/>
    <w:rsid w:val="00764A27"/>
    <w:rsid w:val="008445DE"/>
    <w:rsid w:val="00887E99"/>
    <w:rsid w:val="0089666C"/>
    <w:rsid w:val="008A15B8"/>
    <w:rsid w:val="00902A97"/>
    <w:rsid w:val="009551C1"/>
    <w:rsid w:val="00960514"/>
    <w:rsid w:val="0097628B"/>
    <w:rsid w:val="00982044"/>
    <w:rsid w:val="00997FBE"/>
    <w:rsid w:val="009B3795"/>
    <w:rsid w:val="009D0233"/>
    <w:rsid w:val="00A03423"/>
    <w:rsid w:val="00A145C1"/>
    <w:rsid w:val="00A24C0A"/>
    <w:rsid w:val="00A3367F"/>
    <w:rsid w:val="00AF6A13"/>
    <w:rsid w:val="00AF7703"/>
    <w:rsid w:val="00B17D85"/>
    <w:rsid w:val="00B84CF6"/>
    <w:rsid w:val="00BB06D7"/>
    <w:rsid w:val="00BF400F"/>
    <w:rsid w:val="00C00650"/>
    <w:rsid w:val="00C35682"/>
    <w:rsid w:val="00C9291C"/>
    <w:rsid w:val="00C92A93"/>
    <w:rsid w:val="00CC4563"/>
    <w:rsid w:val="00D53317"/>
    <w:rsid w:val="00DB418D"/>
    <w:rsid w:val="00E4358F"/>
    <w:rsid w:val="00F07727"/>
    <w:rsid w:val="00F450F4"/>
    <w:rsid w:val="00F74E16"/>
    <w:rsid w:val="00F83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193D1"/>
  <w15:chartTrackingRefBased/>
  <w15:docId w15:val="{99EB5C68-C64E-4EA7-A85C-042FADD4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1D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341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411"/>
  </w:style>
  <w:style w:type="paragraph" w:styleId="Stopka">
    <w:name w:val="footer"/>
    <w:basedOn w:val="Normalny"/>
    <w:link w:val="StopkaZnak"/>
    <w:uiPriority w:val="99"/>
    <w:unhideWhenUsed/>
    <w:rsid w:val="0002341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411"/>
  </w:style>
  <w:style w:type="paragraph" w:styleId="Akapitzlist">
    <w:name w:val="List Paragraph"/>
    <w:aliases w:val="Numerowanie,List Paragraph,Akapit z listą BS,Kolorowa lista — akcent 11,sw tekst"/>
    <w:basedOn w:val="Normalny"/>
    <w:link w:val="AkapitzlistZnak"/>
    <w:uiPriority w:val="34"/>
    <w:qFormat/>
    <w:rsid w:val="00023411"/>
    <w:pPr>
      <w:ind w:left="720"/>
      <w:contextualSpacing/>
    </w:pPr>
  </w:style>
  <w:style w:type="character" w:customStyle="1" w:styleId="AkapitzlistZnak">
    <w:name w:val="Akapit z listą Znak"/>
    <w:aliases w:val="Numerowanie Znak,List Paragraph Znak,Akapit z listą BS Znak,Kolorowa lista — akcent 11 Znak,sw tekst Znak"/>
    <w:link w:val="Akapitzlist"/>
    <w:uiPriority w:val="34"/>
    <w:locked/>
    <w:rsid w:val="00023411"/>
  </w:style>
  <w:style w:type="table" w:styleId="Tabela-Siatka">
    <w:name w:val="Table Grid"/>
    <w:basedOn w:val="Standardowy"/>
    <w:uiPriority w:val="39"/>
    <w:rsid w:val="00023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023411"/>
    <w:pPr>
      <w:widowControl w:val="0"/>
      <w:suppressAutoHyphens/>
      <w:spacing w:after="200" w:line="276" w:lineRule="auto"/>
    </w:pPr>
    <w:rPr>
      <w:rFonts w:ascii="Cambria" w:eastAsia="Times New Roman" w:hAnsi="Cambria" w:cs="Times New Roman"/>
      <w:i/>
      <w:iCs/>
      <w:color w:val="4F81BD"/>
      <w:spacing w:val="15"/>
      <w:sz w:val="24"/>
      <w:szCs w:val="24"/>
      <w:lang w:eastAsia="ar-SA"/>
    </w:rPr>
  </w:style>
  <w:style w:type="character" w:customStyle="1" w:styleId="PodtytuZnak">
    <w:name w:val="Podtytuł Znak"/>
    <w:basedOn w:val="Domylnaczcionkaakapitu"/>
    <w:link w:val="Podtytu"/>
    <w:uiPriority w:val="11"/>
    <w:rsid w:val="00023411"/>
    <w:rPr>
      <w:rFonts w:ascii="Cambria" w:eastAsia="Times New Roman" w:hAnsi="Cambria" w:cs="Times New Roman"/>
      <w:i/>
      <w:iCs/>
      <w:color w:val="4F81BD"/>
      <w:spacing w:val="15"/>
      <w:sz w:val="24"/>
      <w:szCs w:val="24"/>
      <w:lang w:eastAsia="ar-SA"/>
    </w:rPr>
  </w:style>
  <w:style w:type="paragraph" w:customStyle="1" w:styleId="Skrconyadreszwrotny">
    <w:name w:val="Skrócony adres zwrotny"/>
    <w:basedOn w:val="Normalny"/>
    <w:rsid w:val="00023411"/>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Zawartotabeli">
    <w:name w:val="Zawartość tabeli"/>
    <w:basedOn w:val="Normalny"/>
    <w:rsid w:val="00023411"/>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paragraph" w:customStyle="1" w:styleId="Standard">
    <w:name w:val="Standard"/>
    <w:rsid w:val="00023411"/>
    <w:pPr>
      <w:suppressAutoHyphens/>
      <w:autoSpaceDN w:val="0"/>
      <w:spacing w:after="0" w:line="240" w:lineRule="auto"/>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81395">
      <w:bodyDiv w:val="1"/>
      <w:marLeft w:val="0"/>
      <w:marRight w:val="0"/>
      <w:marTop w:val="0"/>
      <w:marBottom w:val="0"/>
      <w:divBdr>
        <w:top w:val="none" w:sz="0" w:space="0" w:color="auto"/>
        <w:left w:val="none" w:sz="0" w:space="0" w:color="auto"/>
        <w:bottom w:val="none" w:sz="0" w:space="0" w:color="auto"/>
        <w:right w:val="none" w:sz="0" w:space="0" w:color="auto"/>
      </w:divBdr>
    </w:div>
    <w:div w:id="2917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3433</Words>
  <Characters>20599</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Anna Matys</cp:lastModifiedBy>
  <cp:revision>53</cp:revision>
  <dcterms:created xsi:type="dcterms:W3CDTF">2019-02-08T07:46:00Z</dcterms:created>
  <dcterms:modified xsi:type="dcterms:W3CDTF">2019-03-18T13:12:00Z</dcterms:modified>
</cp:coreProperties>
</file>