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3E81C" w14:textId="77777777" w:rsidR="00BF2237" w:rsidRPr="0027782B" w:rsidRDefault="00BF2237" w:rsidP="0027782B">
      <w:pPr>
        <w:spacing w:after="0" w:line="288" w:lineRule="auto"/>
        <w:rPr>
          <w:rFonts w:ascii="Garamond" w:hAnsi="Garamond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2"/>
      </w:tblGrid>
      <w:tr w:rsidR="00C56A42" w:rsidRPr="0027782B" w14:paraId="0246D849" w14:textId="77777777" w:rsidTr="00C56A42">
        <w:trPr>
          <w:trHeight w:val="643"/>
          <w:jc w:val="center"/>
        </w:trPr>
        <w:tc>
          <w:tcPr>
            <w:tcW w:w="13882" w:type="dxa"/>
            <w:shd w:val="clear" w:color="auto" w:fill="F2F2F2"/>
            <w:vAlign w:val="center"/>
          </w:tcPr>
          <w:p w14:paraId="0E5F040C" w14:textId="77777777" w:rsidR="00476177" w:rsidRDefault="002A27B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>
              <w:rPr>
                <w:rFonts w:ascii="Garamond" w:hAnsi="Garamond" w:cs="Arial"/>
                <w:b/>
                <w:bdr w:val="none" w:sz="0" w:space="0" w:color="auto" w:frame="1"/>
              </w:rPr>
              <w:t>D</w:t>
            </w:r>
            <w:r w:rsidRPr="002A27B7">
              <w:rPr>
                <w:rFonts w:ascii="Garamond" w:hAnsi="Garamond" w:cs="Arial"/>
                <w:b/>
                <w:bdr w:val="none" w:sz="0" w:space="0" w:color="auto" w:frame="1"/>
              </w:rPr>
              <w:t xml:space="preserve">ostawa systemu do planowania radioterapii </w:t>
            </w:r>
            <w:r w:rsidR="00476177" w:rsidRPr="002A27B7">
              <w:rPr>
                <w:rFonts w:ascii="Garamond" w:hAnsi="Garamond" w:cs="Arial"/>
                <w:b/>
                <w:bdr w:val="none" w:sz="0" w:space="0" w:color="auto" w:frame="1"/>
              </w:rPr>
              <w:t>wraz z instalacją, uruchomieniem i szkoleniem personelu</w:t>
            </w:r>
          </w:p>
          <w:p w14:paraId="4FB7C079" w14:textId="6D37B30A" w:rsidR="002C3160" w:rsidRDefault="002C3160" w:rsidP="0024269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</w:p>
          <w:p w14:paraId="0CDC6C3D" w14:textId="01602390" w:rsidR="00476177" w:rsidRDefault="00476177" w:rsidP="00476177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 w:cs="Arial"/>
                <w:b/>
                <w:bdr w:val="none" w:sz="0" w:space="0" w:color="auto" w:frame="1"/>
              </w:rPr>
            </w:pPr>
            <w:r w:rsidRPr="00476177">
              <w:rPr>
                <w:rFonts w:ascii="Garamond" w:hAnsi="Garamond" w:cs="Arial"/>
                <w:b/>
                <w:bdr w:val="none" w:sz="0" w:space="0" w:color="auto" w:frame="1"/>
              </w:rPr>
              <w:t>Zamówienie realizowane jest w ramach programu Narodowej Strategii Onkologicznej pn.: „Doposażenie zakładów radioterapii”</w:t>
            </w:r>
          </w:p>
          <w:p w14:paraId="142C4B06" w14:textId="33363BD2" w:rsidR="002C3160" w:rsidRPr="0024269A" w:rsidRDefault="002C3160" w:rsidP="00476177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 w:cs="Arial"/>
                <w:kern w:val="3"/>
                <w:sz w:val="18"/>
                <w:szCs w:val="18"/>
                <w:lang w:eastAsia="zh-CN" w:bidi="hi-IN"/>
              </w:rPr>
            </w:pPr>
          </w:p>
        </w:tc>
      </w:tr>
    </w:tbl>
    <w:p w14:paraId="72E41759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33609F55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u w:val="single"/>
          <w:lang w:eastAsia="zh-CN" w:bidi="hi-IN"/>
        </w:rPr>
        <w:t>Uwagi i objaśnienia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:</w:t>
      </w:r>
    </w:p>
    <w:p w14:paraId="1CCD3CF3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08A7EB2E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Parametry o określonych warunkach liczbowych ( „=&gt;”  lub „&lt;=”, „min.” lub „max.”) są warunkami granicznymi, których niespełnienie spowoduje odrzucenie oferty.</w:t>
      </w:r>
    </w:p>
    <w:p w14:paraId="2CF60054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Wartość podana przy w/w oznaczeniach oznacza wartość wymaganą.</w:t>
      </w:r>
    </w:p>
    <w:p w14:paraId="74776E54" w14:textId="0B18483E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 kolumnie „Lokalizacja potwierdzenia [str. oferty</w:t>
      </w:r>
      <w:r w:rsidR="00820BAA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pliku</w:t>
      </w: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] w przypadku wyrażenia "nie dotyczy" potwierdzenie w materiałach firmowych nie jest konieczne, natomiast w pozostałych przypadkach wykonawca ma obowiązek w tej kolumnie wskazania, gdzie w materiałach firmowych znajduje się parametr zadeklarowany w kolumnie "parametr oferowany".</w:t>
      </w:r>
    </w:p>
    <w:p w14:paraId="24D0883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Wykonawca zobowiązany jest do podania parametrów w jednostkach wskazanych w niniejszym opisie.</w:t>
      </w:r>
    </w:p>
    <w:p w14:paraId="6F06C859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rekondycjonowanym</w:t>
      </w:r>
      <w:proofErr w:type="spellEnd"/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, powystawowym i nie był wykorzystywany wcześniej przez innego użytkownika.</w:t>
      </w:r>
    </w:p>
    <w:p w14:paraId="7240EFC5" w14:textId="77777777" w:rsidR="00BF2237" w:rsidRPr="0027782B" w:rsidRDefault="00BF2237" w:rsidP="0027782B">
      <w:pPr>
        <w:numPr>
          <w:ilvl w:val="0"/>
          <w:numId w:val="1"/>
        </w:num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kern w:val="3"/>
          <w:sz w:val="20"/>
          <w:szCs w:val="20"/>
          <w:lang w:eastAsia="zh-CN" w:bidi="hi-IN"/>
        </w:rPr>
        <w:t>Brak potwierdzenia w materiałach firmowych zakresu większego niż wymagany, pomimo jego wskazania w kolumnie „Parametr oferowany”, spowoduje nie przyznanie punktów za ten parametr.</w:t>
      </w:r>
    </w:p>
    <w:p w14:paraId="0C3A3BDC" w14:textId="47ED9FCB" w:rsidR="002A27B7" w:rsidRDefault="002A27B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DC311B1" w14:textId="01C1DF89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4970A52" w14:textId="6040F2F3" w:rsidR="00DB7B4C" w:rsidRDefault="00DB7B4C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6B5317D" w14:textId="77777777" w:rsidR="00476177" w:rsidRDefault="0047617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19B192" w14:textId="76BE0E78" w:rsidR="002C3160" w:rsidRDefault="002C3160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3FD4CECC" w14:textId="77777777" w:rsidR="00BF2237" w:rsidRPr="0027782B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  <w:r w:rsidRPr="0027782B">
        <w:rPr>
          <w:rFonts w:ascii="Garamond" w:eastAsia="Times New Roman" w:hAnsi="Garamond" w:cs="Arial"/>
          <w:b/>
          <w:bCs/>
        </w:rPr>
        <w:lastRenderedPageBreak/>
        <w:t>Tabela wyceny:</w:t>
      </w:r>
    </w:p>
    <w:p w14:paraId="620E37FB" w14:textId="4842B63C" w:rsidR="00BF2237" w:rsidRDefault="00BF2237" w:rsidP="0027782B">
      <w:pPr>
        <w:spacing w:line="288" w:lineRule="auto"/>
        <w:rPr>
          <w:rFonts w:ascii="Garamond" w:eastAsia="Times New Roman" w:hAnsi="Garamond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0443"/>
        <w:gridCol w:w="2880"/>
      </w:tblGrid>
      <w:tr w:rsidR="00BF2237" w:rsidRPr="0027782B" w14:paraId="78D10702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6868A2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443" w:type="dxa"/>
            <w:tcBorders>
              <w:bottom w:val="nil"/>
              <w:right w:val="single" w:sz="4" w:space="0" w:color="auto"/>
            </w:tcBorders>
            <w:shd w:val="clear" w:color="auto" w:fill="F2F2F2"/>
            <w:vAlign w:val="center"/>
          </w:tcPr>
          <w:p w14:paraId="026EB83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color w:val="0D0D0D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DB26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Cena brutto (w zł)</w:t>
            </w:r>
          </w:p>
        </w:tc>
      </w:tr>
      <w:tr w:rsidR="00BF2237" w:rsidRPr="0027782B" w14:paraId="38F5CB7B" w14:textId="77777777" w:rsidTr="00186CC4">
        <w:trPr>
          <w:trHeight w:val="550"/>
        </w:trPr>
        <w:tc>
          <w:tcPr>
            <w:tcW w:w="67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6CB7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4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96CAD" w14:textId="14E2BF8F" w:rsidR="00BF2237" w:rsidRPr="0027782B" w:rsidRDefault="00BF2237" w:rsidP="0027782B">
            <w:pPr>
              <w:spacing w:line="288" w:lineRule="auto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 xml:space="preserve">A: Cena brutto za cały sprzęt 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(w zł):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02C3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90CF4D9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C02F4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E5A193E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B: </w:t>
            </w:r>
            <w:r w:rsidRPr="0027782B">
              <w:rPr>
                <w:rFonts w:ascii="Garamond" w:hAnsi="Garamond"/>
                <w:b/>
                <w:bCs/>
                <w:sz w:val="20"/>
                <w:szCs w:val="20"/>
              </w:rPr>
              <w:t xml:space="preserve">Cena brutto dostawy, instalacji i uruchomienia całego sprzętu 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>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18727C2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5A02F116" w14:textId="77777777" w:rsidTr="00186CC4">
        <w:trPr>
          <w:trHeight w:val="55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1A0B9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eastAsia="Times New Roman" w:hAnsi="Garamond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0443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3F3B62C4" w14:textId="77777777" w:rsidR="00BF2237" w:rsidRPr="0027782B" w:rsidRDefault="00BF2237" w:rsidP="0027782B">
            <w:pPr>
              <w:spacing w:line="288" w:lineRule="auto"/>
              <w:rPr>
                <w:rFonts w:ascii="Garamond" w:hAnsi="Garamond"/>
                <w:b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C: </w:t>
            </w:r>
            <w:r w:rsidRPr="0027782B">
              <w:rPr>
                <w:rFonts w:ascii="Garamond" w:eastAsia="Times New Roman" w:hAnsi="Garamond"/>
                <w:b/>
                <w:bCs/>
                <w:sz w:val="20"/>
                <w:szCs w:val="20"/>
              </w:rPr>
              <w:t>Cena brutto wszystkich szkoleń</w:t>
            </w:r>
            <w:r w:rsidRPr="0027782B">
              <w:rPr>
                <w:rFonts w:ascii="Garamond" w:hAnsi="Garamond"/>
                <w:b/>
                <w:sz w:val="20"/>
                <w:szCs w:val="20"/>
              </w:rPr>
              <w:t xml:space="preserve"> (w zł):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448DAE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3DE7CE08" w14:textId="77777777" w:rsidR="00BF2237" w:rsidRPr="0027782B" w:rsidRDefault="00BF2237" w:rsidP="0027782B">
      <w:pPr>
        <w:tabs>
          <w:tab w:val="left" w:pos="8985"/>
        </w:tabs>
        <w:spacing w:line="288" w:lineRule="auto"/>
        <w:rPr>
          <w:rFonts w:ascii="Garamond" w:hAnsi="Garamond"/>
          <w:sz w:val="20"/>
          <w:szCs w:val="20"/>
        </w:rPr>
      </w:pPr>
    </w:p>
    <w:p w14:paraId="06A27028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20B55B31" w14:textId="5D6E32A8" w:rsidR="00BF2237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422"/>
        <w:gridCol w:w="2299"/>
        <w:gridCol w:w="7700"/>
      </w:tblGrid>
      <w:tr w:rsidR="009A2D2E" w:rsidRPr="00D8198B" w14:paraId="01BB1824" w14:textId="77777777" w:rsidTr="000B19CA">
        <w:trPr>
          <w:trHeight w:val="550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B76BDE3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3422" w:type="dxa"/>
            <w:tcBorders>
              <w:bottom w:val="nil"/>
            </w:tcBorders>
            <w:shd w:val="clear" w:color="auto" w:fill="F2F2F2"/>
            <w:vAlign w:val="center"/>
          </w:tcPr>
          <w:p w14:paraId="155FB5E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27CA5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  <w:t>Liczba sztuk</w:t>
            </w:r>
          </w:p>
        </w:tc>
        <w:tc>
          <w:tcPr>
            <w:tcW w:w="7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486FC" w14:textId="51D4EAAF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Suma w/w pozycji 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>A+ B + C: Cena brutto oferty</w:t>
            </w:r>
            <w:r w:rsidRPr="0027782B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*</w:t>
            </w:r>
            <w:r w:rsidRPr="0027782B">
              <w:rPr>
                <w:rFonts w:ascii="Garamond" w:eastAsia="Andale Sans UI" w:hAnsi="Garamond"/>
                <w:b/>
                <w:bCs/>
                <w:kern w:val="2"/>
                <w:sz w:val="20"/>
                <w:szCs w:val="20"/>
              </w:rPr>
              <w:t xml:space="preserve"> </w:t>
            </w:r>
            <w:r w:rsidRPr="0027782B">
              <w:rPr>
                <w:rFonts w:ascii="Garamond" w:eastAsia="Times New Roman" w:hAnsi="Garamond"/>
                <w:b/>
                <w:kern w:val="2"/>
                <w:sz w:val="20"/>
                <w:szCs w:val="20"/>
              </w:rPr>
              <w:t>(w zł)</w:t>
            </w:r>
          </w:p>
        </w:tc>
      </w:tr>
      <w:tr w:rsidR="009A2D2E" w:rsidRPr="00D8198B" w14:paraId="28004E4C" w14:textId="77777777" w:rsidTr="000B19CA">
        <w:trPr>
          <w:trHeight w:val="647"/>
        </w:trPr>
        <w:tc>
          <w:tcPr>
            <w:tcW w:w="57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99BF1A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44E766" w14:textId="77777777" w:rsidR="009A2D2E" w:rsidRPr="00E212A5" w:rsidRDefault="009A2D2E" w:rsidP="00510C9F">
            <w:pPr>
              <w:rPr>
                <w:rFonts w:ascii="Century Gothic" w:eastAsia="Times New Roman" w:hAnsi="Century Gothic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entury Gothic" w:eastAsia="Times New Roman" w:hAnsi="Century Gothic"/>
                <w:b/>
                <w:color w:val="000000"/>
                <w:sz w:val="20"/>
                <w:szCs w:val="20"/>
              </w:rPr>
              <w:t>System planowania radioterapii</w:t>
            </w:r>
          </w:p>
        </w:tc>
        <w:tc>
          <w:tcPr>
            <w:tcW w:w="2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DD8D7" w14:textId="77777777" w:rsidR="009A2D2E" w:rsidRPr="00D8198B" w:rsidRDefault="009A2D2E" w:rsidP="00510C9F">
            <w:pPr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pl-PL"/>
              </w:rPr>
            </w:pPr>
            <w:r w:rsidRPr="00D8198B">
              <w:rPr>
                <w:rFonts w:ascii="Century Gothic" w:eastAsia="Times New Roman" w:hAnsi="Century Gothic"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247DF1" w14:textId="77777777" w:rsidR="009A2D2E" w:rsidRPr="00D8198B" w:rsidRDefault="009A2D2E" w:rsidP="00510C9F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679A44CD" w14:textId="244E4A49" w:rsidR="009A2D2E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A8495E1" w14:textId="77777777" w:rsidR="009A2D2E" w:rsidRPr="0027782B" w:rsidRDefault="009A2D2E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6878242A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</w:pPr>
      <w:r w:rsidRPr="0027782B">
        <w:rPr>
          <w:rFonts w:ascii="Garamond" w:eastAsia="Lucida Sans Unicode" w:hAnsi="Garamond"/>
          <w:i/>
          <w:kern w:val="3"/>
          <w:sz w:val="20"/>
          <w:szCs w:val="20"/>
          <w:lang w:eastAsia="zh-CN" w:bidi="hi-IN"/>
        </w:rPr>
        <w:t>* jeżeli wybór oferty będzie prowadził do powstania u Zamawiającego obowiązku podatkowego, zgodnie z przepisami o podatku od towarów i usług, należy podać cenę netto.</w:t>
      </w:r>
    </w:p>
    <w:p w14:paraId="64105664" w14:textId="0AE9A03F" w:rsidR="00BF2237" w:rsidRDefault="00BF2237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3FB54BDB" w14:textId="292BE887" w:rsidR="00844122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14843FF6" w14:textId="77777777" w:rsidR="00844122" w:rsidRPr="0027782B" w:rsidRDefault="00844122" w:rsidP="0027782B">
      <w:pPr>
        <w:tabs>
          <w:tab w:val="left" w:pos="10050"/>
        </w:tabs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sz w:val="20"/>
          <w:szCs w:val="20"/>
          <w:lang w:eastAsia="zh-CN" w:bidi="hi-IN"/>
        </w:rPr>
      </w:pPr>
    </w:p>
    <w:p w14:paraId="61CF3330" w14:textId="77777777" w:rsidR="00BF2237" w:rsidRPr="0027782B" w:rsidRDefault="00BF2237" w:rsidP="0027782B">
      <w:pPr>
        <w:suppressAutoHyphens/>
        <w:autoSpaceDN w:val="0"/>
        <w:spacing w:after="12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5526"/>
        <w:gridCol w:w="1417"/>
        <w:gridCol w:w="3117"/>
        <w:gridCol w:w="1417"/>
        <w:gridCol w:w="2409"/>
      </w:tblGrid>
      <w:tr w:rsidR="00BF2237" w:rsidRPr="0027782B" w14:paraId="7FD4EC62" w14:textId="77777777" w:rsidTr="00C43E5B">
        <w:tc>
          <w:tcPr>
            <w:tcW w:w="709" w:type="dxa"/>
          </w:tcPr>
          <w:p w14:paraId="64EB91C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bookmarkStart w:id="1" w:name="_GoBack"/>
            <w:bookmarkEnd w:id="0"/>
          </w:p>
        </w:tc>
        <w:tc>
          <w:tcPr>
            <w:tcW w:w="13886" w:type="dxa"/>
            <w:gridSpan w:val="5"/>
            <w:vAlign w:val="center"/>
            <w:hideMark/>
          </w:tcPr>
          <w:p w14:paraId="3C43605F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PARAMETRY TECHNICZNE I EKSPLOATACYJNE </w:t>
            </w:r>
          </w:p>
        </w:tc>
      </w:tr>
      <w:tr w:rsidR="00BF2237" w:rsidRPr="0027782B" w14:paraId="60F10011" w14:textId="77777777" w:rsidTr="00C43E5B">
        <w:tc>
          <w:tcPr>
            <w:tcW w:w="709" w:type="dxa"/>
            <w:vAlign w:val="center"/>
            <w:hideMark/>
          </w:tcPr>
          <w:p w14:paraId="267D5D92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5526" w:type="dxa"/>
            <w:vAlign w:val="center"/>
            <w:hideMark/>
          </w:tcPr>
          <w:p w14:paraId="327B6828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417" w:type="dxa"/>
            <w:vAlign w:val="center"/>
            <w:hideMark/>
          </w:tcPr>
          <w:p w14:paraId="43579043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 xml:space="preserve">Parametr wymagany </w:t>
            </w:r>
          </w:p>
        </w:tc>
        <w:tc>
          <w:tcPr>
            <w:tcW w:w="3117" w:type="dxa"/>
            <w:vAlign w:val="center"/>
            <w:hideMark/>
          </w:tcPr>
          <w:p w14:paraId="114629F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417" w:type="dxa"/>
            <w:hideMark/>
          </w:tcPr>
          <w:p w14:paraId="4BC5ABF8" w14:textId="3D9827DF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Lokalizacja potwierdzenia [str. oferty</w:t>
            </w:r>
            <w:r w:rsidR="00820BAA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, pliku</w:t>
            </w: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]</w:t>
            </w:r>
          </w:p>
        </w:tc>
        <w:tc>
          <w:tcPr>
            <w:tcW w:w="2409" w:type="dxa"/>
            <w:vAlign w:val="center"/>
            <w:hideMark/>
          </w:tcPr>
          <w:p w14:paraId="796339DC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  <w:p w14:paraId="6EAF94EB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(punktacja)</w:t>
            </w:r>
          </w:p>
        </w:tc>
      </w:tr>
      <w:tr w:rsidR="00C56A42" w:rsidRPr="0027782B" w14:paraId="1298750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C8064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6F64B9A" w14:textId="476B8139" w:rsidR="00C56A42" w:rsidRPr="0027782B" w:rsidRDefault="00ED5426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INFORMACJE OGÓLNE (dot. stacji planowania leczenia)</w:t>
            </w:r>
          </w:p>
        </w:tc>
        <w:tc>
          <w:tcPr>
            <w:tcW w:w="1417" w:type="dxa"/>
          </w:tcPr>
          <w:p w14:paraId="71BF338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28A10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B755D9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686555C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27782B" w:rsidRPr="0027782B" w14:paraId="13EA955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D8CAA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19A45C6" w14:textId="68303093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Rozbudowa posiadanej konfiguracji systemu planowania leczenia </w:t>
            </w:r>
            <w:proofErr w:type="spellStart"/>
            <w:r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sz w:val="20"/>
                <w:szCs w:val="20"/>
              </w:rPr>
              <w:t xml:space="preserve"> o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dwie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licencje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 xml:space="preserve"> na planowanie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w terapii </w:t>
            </w:r>
            <w:r w:rsidR="00375A80" w:rsidRPr="002A27B7">
              <w:rPr>
                <w:rFonts w:ascii="Garamond" w:hAnsi="Garamond"/>
                <w:sz w:val="20"/>
                <w:szCs w:val="20"/>
              </w:rPr>
              <w:t>proton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owe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>j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 oka oraz </w:t>
            </w:r>
            <w:r w:rsidR="00955D10" w:rsidRPr="002A27B7">
              <w:rPr>
                <w:rFonts w:ascii="Garamond" w:hAnsi="Garamond"/>
                <w:sz w:val="20"/>
                <w:szCs w:val="20"/>
              </w:rPr>
              <w:t xml:space="preserve">jedną 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>stację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planowania leczenia</w:t>
            </w:r>
            <w:r w:rsidR="00906B33" w:rsidRPr="002A27B7">
              <w:rPr>
                <w:rFonts w:ascii="Garamond" w:hAnsi="Garamond"/>
                <w:sz w:val="20"/>
                <w:szCs w:val="20"/>
              </w:rPr>
              <w:t xml:space="preserve">.  </w:t>
            </w:r>
          </w:p>
        </w:tc>
        <w:tc>
          <w:tcPr>
            <w:tcW w:w="1417" w:type="dxa"/>
          </w:tcPr>
          <w:p w14:paraId="2673AC0D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C308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DD780" w14:textId="078EE7FE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0D410F09" w14:textId="7F1A499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27782B" w:rsidRPr="0027782B" w14:paraId="41C0E2AB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6F6ED0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32FAFD5A" w14:textId="2B2E639A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 xml:space="preserve">Możliwość wykorzystania </w:t>
            </w:r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zakupionych licencji, o których mowa powyżej </w:t>
            </w:r>
            <w:r w:rsidRPr="002A27B7">
              <w:rPr>
                <w:rFonts w:ascii="Garamond" w:hAnsi="Garamond"/>
                <w:sz w:val="20"/>
                <w:szCs w:val="20"/>
              </w:rPr>
              <w:t>na zaoferowanej stacji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oraz obecnie posiadanych</w:t>
            </w:r>
            <w:r w:rsidR="005C5EC0" w:rsidRPr="002A27B7">
              <w:rPr>
                <w:rFonts w:ascii="Garamond" w:hAnsi="Garamond"/>
                <w:sz w:val="20"/>
                <w:szCs w:val="20"/>
              </w:rPr>
              <w:t xml:space="preserve"> przez Zamawiającego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 stacjach</w:t>
            </w:r>
            <w:r w:rsidR="00AB3A82" w:rsidRPr="002A27B7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AB3A82" w:rsidRPr="002A27B7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="00787E84" w:rsidRPr="002A27B7">
              <w:rPr>
                <w:rFonts w:ascii="Garamond" w:hAnsi="Garamond"/>
                <w:sz w:val="20"/>
                <w:szCs w:val="20"/>
              </w:rPr>
              <w:t xml:space="preserve"> (w lokalizacji przy ul. Jakubowskiego 2)</w:t>
            </w:r>
            <w:r w:rsidR="00076D20" w:rsidRPr="002A27B7">
              <w:rPr>
                <w:rFonts w:ascii="Garamond" w:hAnsi="Garamond"/>
                <w:sz w:val="20"/>
                <w:szCs w:val="20"/>
              </w:rPr>
              <w:t xml:space="preserve">. </w:t>
            </w:r>
          </w:p>
        </w:tc>
        <w:tc>
          <w:tcPr>
            <w:tcW w:w="1417" w:type="dxa"/>
          </w:tcPr>
          <w:p w14:paraId="61D62CBA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7EBCE6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1C1E2" w14:textId="6344460C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F17DE88" w14:textId="7AE13589" w:rsidR="00C56A42" w:rsidRPr="0027782B" w:rsidRDefault="009A2D2E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C56A42" w:rsidRPr="0027782B" w14:paraId="0CEEEE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49D1B" w14:textId="77777777" w:rsidR="00C56A42" w:rsidRPr="0024269A" w:rsidRDefault="00C56A42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4CBC643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SYSTEM PLANOWANIA LECZENIA DLA FIZYKÓW</w:t>
            </w:r>
            <w:r w:rsidRPr="002A27B7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881CDAF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C8825" w14:textId="77777777" w:rsidR="00C56A42" w:rsidRPr="002A27B7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BFB78D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2AF17A56" w14:textId="77777777" w:rsidR="00C56A42" w:rsidRPr="0027782B" w:rsidRDefault="00C56A42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13C2AEF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1A33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EE57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Oferowany system planowania leczenia wykorzystuje to samo środowisko pracy co posiadany przez Zamawiającego system planowania leczenia </w:t>
            </w:r>
            <w:proofErr w:type="spellStart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RayStation</w:t>
            </w:r>
            <w:proofErr w:type="spellEnd"/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 xml:space="preserve">, jest zintegrowany oraz korzysta z tej samej bazy danych pacjentów. </w:t>
            </w:r>
          </w:p>
        </w:tc>
        <w:tc>
          <w:tcPr>
            <w:tcW w:w="1417" w:type="dxa"/>
          </w:tcPr>
          <w:p w14:paraId="19C615C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3EE77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3589E" w14:textId="5777D170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1AB4D56" w14:textId="2AAAACFA" w:rsidR="009A2D2E" w:rsidRPr="0027782B" w:rsidRDefault="009A2D2E" w:rsidP="009A2D2E">
            <w:pPr>
              <w:tabs>
                <w:tab w:val="left" w:pos="645"/>
                <w:tab w:val="center" w:pos="1221"/>
              </w:tabs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1F14BCA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F0197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0ACB8BF" w14:textId="50D4EF16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Obliczenia wykonywane są z użyciem kart graficznych serwerów systemu </w:t>
            </w:r>
            <w:proofErr w:type="spellStart"/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RayStation</w:t>
            </w:r>
            <w:proofErr w:type="spellEnd"/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posiadanych przez Zamawiającego, lub dodatkowych kart graficznych jeśli wymaga tego lokalizacja nowej stacji (niezbędne komponenty zostaną dostarczone ze stacją</w:t>
            </w:r>
            <w:r w:rsidR="005C5EC0"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przez Wykonawcę</w:t>
            </w: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D386EC0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D7CD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ABFE34" w14:textId="62C13CAF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443FB83" w14:textId="3FF04B7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647716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708FC6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C4896F8" w14:textId="7278D631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Oferowana konfiguracja zawiera </w:t>
            </w:r>
            <w:r w:rsidR="00256968"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</w:t>
            </w: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licencje planowania leczenia protonowego oka. Licencje są pływające 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i można je wykorzystać na dowolnej stacji planowania </w:t>
            </w:r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leczenia </w:t>
            </w:r>
            <w:proofErr w:type="spellStart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RayStation</w:t>
            </w:r>
            <w:proofErr w:type="spellEnd"/>
            <w:r w:rsidR="00AE5D82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, posiadanej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27D45B46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BE423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94F1" w14:textId="008C0826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3992CCE6" w14:textId="081CFC0B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Wymagana liczba licencji –  0 pkt.</w:t>
            </w:r>
          </w:p>
          <w:p w14:paraId="4901D4A4" w14:textId="5BEB6703" w:rsidR="009A2D2E" w:rsidRPr="0027782B" w:rsidRDefault="009A2D2E" w:rsidP="0024269A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Wyższa niż wymagana – </w:t>
            </w:r>
            <w:r w:rsid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2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pkt.</w:t>
            </w:r>
          </w:p>
        </w:tc>
      </w:tr>
      <w:tr w:rsidR="009A2D2E" w:rsidRPr="0027782B" w14:paraId="4B77170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9FD2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095F6" w14:textId="5840D946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importu obrazów tomograficznych różnych modalności min. 4: MR, PET-CT, CBCT, 4DCT zgodnych ze standardem DICOM</w:t>
            </w:r>
          </w:p>
        </w:tc>
        <w:tc>
          <w:tcPr>
            <w:tcW w:w="1417" w:type="dxa"/>
          </w:tcPr>
          <w:p w14:paraId="5405B00B" w14:textId="5416993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3F803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27BA18" w14:textId="09EE0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25F8EC0C" w14:textId="58E0766A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liczba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modalności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531AF007" w14:textId="598448CC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562FE224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BC5E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7F7332D5" w14:textId="77777777" w:rsidR="009A2D2E" w:rsidRPr="0003032D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03032D">
              <w:rPr>
                <w:rFonts w:ascii="Garamond" w:hAnsi="Garamond"/>
                <w:color w:val="000000" w:themeColor="text1"/>
                <w:sz w:val="20"/>
                <w:szCs w:val="20"/>
              </w:rPr>
              <w:t>Wykonywanie rejestracji nieelastycznej (translacja, obrót) obrazów różnych modalności</w:t>
            </w:r>
          </w:p>
        </w:tc>
        <w:tc>
          <w:tcPr>
            <w:tcW w:w="1417" w:type="dxa"/>
          </w:tcPr>
          <w:p w14:paraId="01720D58" w14:textId="65DDA406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76951B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2DFC3" w14:textId="0C0EC389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478F0E99" w14:textId="74D3BC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61AE3C8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0A8C1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7A6B168" w14:textId="46540D05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Obliczenia dla wiązek protonowych z wykorzystaniem algorytmu typu Monte Carlo</w:t>
            </w:r>
          </w:p>
        </w:tc>
        <w:tc>
          <w:tcPr>
            <w:tcW w:w="1417" w:type="dxa"/>
          </w:tcPr>
          <w:p w14:paraId="60F0AC95" w14:textId="7CECA845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19CD1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E841C" w14:textId="2D7006C8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</w:tcPr>
          <w:p w14:paraId="777F174F" w14:textId="0EDDD132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9CDAF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9B919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5D9EB186" w14:textId="59FB8258" w:rsidR="009A2D2E" w:rsidRPr="002A27B7" w:rsidRDefault="00256968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Instalacja 1 szt. stacji roboczej</w:t>
            </w:r>
            <w:r w:rsidR="009A2D2E"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systemu planowania leczenia w Oddziale Klinicznym Okulistyki i Onkologii Okulistycznej przy ul. Kopernika 38 (połączenie sieciowe zapewniane przez Zamawiającego) </w:t>
            </w:r>
          </w:p>
        </w:tc>
        <w:tc>
          <w:tcPr>
            <w:tcW w:w="1417" w:type="dxa"/>
            <w:hideMark/>
          </w:tcPr>
          <w:p w14:paraId="2C0D396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60B29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2B0E45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7735878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04294AB6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9CEC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4DFE8DD2" w14:textId="264D55B1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Możliwość połączenia systemu planowania za pomocą pulpitu zdalnego z komputerem znajdującym się w Pracowni Radioterapii Protonowej w IFJ PAN. </w:t>
            </w:r>
          </w:p>
        </w:tc>
        <w:tc>
          <w:tcPr>
            <w:tcW w:w="1417" w:type="dxa"/>
          </w:tcPr>
          <w:p w14:paraId="39939D81" w14:textId="10D167BC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E3AE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76081" w14:textId="4C854A53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03DF694" w14:textId="30812061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45FE076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8251C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66748480" w14:textId="27F31203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systemu planowania leczenia z systemem wizualizacji składającym się z 2 lamp RTG</w:t>
            </w:r>
          </w:p>
        </w:tc>
        <w:tc>
          <w:tcPr>
            <w:tcW w:w="1417" w:type="dxa"/>
          </w:tcPr>
          <w:p w14:paraId="1F0C20D5" w14:textId="19945C30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54484C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58EF" w14:textId="6BA1580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246EB40C" w14:textId="27BB066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386CB7C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869D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2B50C3C8" w14:textId="6979D55C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Możliwość eksportu planu celem realizacji planu na aparacie protonowym (cyklotron) oraz wydruku planu leczenia </w:t>
            </w:r>
          </w:p>
        </w:tc>
        <w:tc>
          <w:tcPr>
            <w:tcW w:w="1417" w:type="dxa"/>
            <w:hideMark/>
          </w:tcPr>
          <w:p w14:paraId="54739A5C" w14:textId="77777777" w:rsidR="009A2D2E" w:rsidRPr="002A27B7" w:rsidRDefault="009A2D2E" w:rsidP="009A2D2E">
            <w:pPr>
              <w:spacing w:line="288" w:lineRule="auto"/>
              <w:jc w:val="center"/>
              <w:rPr>
                <w:rFonts w:ascii="Garamond" w:hAnsi="Garamond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F598EE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F8D6AC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66507A32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507225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0FDE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0489D37A" w14:textId="6C0F0347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Możliwość integracji systemu z systemem zarz</w:t>
            </w:r>
            <w:r w:rsidR="008C180C"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ądzania radioterapią posiadanym</w:t>
            </w: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 xml:space="preserve"> przez Zamawiającego</w:t>
            </w:r>
          </w:p>
        </w:tc>
        <w:tc>
          <w:tcPr>
            <w:tcW w:w="1417" w:type="dxa"/>
          </w:tcPr>
          <w:p w14:paraId="36829E27" w14:textId="706656EC" w:rsidR="009A2D2E" w:rsidRPr="002A27B7" w:rsidRDefault="0024269A" w:rsidP="009A2D2E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FA05C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BD55D3" w14:textId="085B753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</w:tcPr>
          <w:p w14:paraId="67925D03" w14:textId="4EFD3EA0" w:rsidR="009A2D2E" w:rsidRPr="0024269A" w:rsidRDefault="0024269A" w:rsidP="0024269A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24269A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Tak – 3 pkt., nie – 0 pkt.</w:t>
            </w:r>
          </w:p>
        </w:tc>
      </w:tr>
      <w:tr w:rsidR="009A2D2E" w:rsidRPr="0027782B" w14:paraId="35312E60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DEE5F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360E7B7E" w14:textId="6662FBDF" w:rsidR="009A2D2E" w:rsidRPr="00B823B6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D0D0D" w:themeColor="text1" w:themeTint="F2"/>
                <w:sz w:val="20"/>
                <w:szCs w:val="20"/>
              </w:rPr>
            </w:pPr>
            <w:r w:rsidRPr="00B823B6">
              <w:rPr>
                <w:rFonts w:ascii="Garamond" w:hAnsi="Garamond"/>
                <w:color w:val="0D0D0D" w:themeColor="text1" w:themeTint="F2"/>
                <w:sz w:val="20"/>
                <w:szCs w:val="20"/>
              </w:rPr>
              <w:t>Export i import danych w formacie DICOM.</w:t>
            </w:r>
          </w:p>
        </w:tc>
        <w:tc>
          <w:tcPr>
            <w:tcW w:w="1417" w:type="dxa"/>
            <w:hideMark/>
          </w:tcPr>
          <w:p w14:paraId="64A46777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222024" w14:textId="77777777" w:rsidR="009A2D2E" w:rsidRPr="002A27B7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7CBBC" w14:textId="155C60E5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hideMark/>
          </w:tcPr>
          <w:p w14:paraId="718FD026" w14:textId="77777777" w:rsidR="009A2D2E" w:rsidRPr="0027782B" w:rsidRDefault="009A2D2E" w:rsidP="00510C9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2014B857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3A23D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7B03E08A" w14:textId="4ED74D2F" w:rsidR="009A2D2E" w:rsidRPr="002A27B7" w:rsidRDefault="009A2D2E" w:rsidP="00B823B6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Integracja z serwerami PACS oraz systemem OIS</w:t>
            </w:r>
            <w:r w:rsidR="00B823B6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posiadanym przez Zamawiającego</w:t>
            </w:r>
          </w:p>
        </w:tc>
        <w:tc>
          <w:tcPr>
            <w:tcW w:w="1417" w:type="dxa"/>
            <w:hideMark/>
          </w:tcPr>
          <w:p w14:paraId="5EC9FAE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AC4C6A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FC2AB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hideMark/>
          </w:tcPr>
          <w:p w14:paraId="0DFF8EC4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5BBC5A4D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B1459A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  <w:hideMark/>
          </w:tcPr>
          <w:p w14:paraId="62C7F0FF" w14:textId="5DDBE387" w:rsidR="009A2D2E" w:rsidRPr="002A27B7" w:rsidRDefault="00B5169C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obliczenia rozkładów dawki planu weryfikacyjnego w fantomie wodnym</w:t>
            </w:r>
          </w:p>
        </w:tc>
        <w:tc>
          <w:tcPr>
            <w:tcW w:w="1417" w:type="dxa"/>
            <w:hideMark/>
          </w:tcPr>
          <w:p w14:paraId="2B754E7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A27B7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0E1CF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F39838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  <w:hideMark/>
          </w:tcPr>
          <w:p w14:paraId="0F2363E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tr w:rsidR="009A2D2E" w:rsidRPr="0027782B" w14:paraId="721A361E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FE064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6F002D06" w14:textId="7A0DDF2F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2A27B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STACJA PLANOWANIA LECZENIA</w:t>
            </w:r>
          </w:p>
        </w:tc>
        <w:tc>
          <w:tcPr>
            <w:tcW w:w="1417" w:type="dxa"/>
          </w:tcPr>
          <w:p w14:paraId="74CC3111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835CF9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2A9C7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0F8811A9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A2D2E" w:rsidRPr="0027782B" w14:paraId="47E8C012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F04E8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57BC09E1" w14:textId="2A780D58" w:rsidR="009A2D2E" w:rsidRPr="002A27B7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2 monitory referencyjne zgodne ze standa</w:t>
            </w:r>
            <w:r w:rsidR="0024269A" w:rsidRPr="002A27B7">
              <w:rPr>
                <w:rFonts w:ascii="Garamond" w:hAnsi="Garamond"/>
                <w:sz w:val="20"/>
                <w:szCs w:val="20"/>
              </w:rPr>
              <w:t xml:space="preserve">rdem DICOM o przekątnej min. </w:t>
            </w:r>
            <w:r w:rsidRPr="002A27B7">
              <w:rPr>
                <w:rFonts w:ascii="Garamond" w:hAnsi="Garamond"/>
                <w:sz w:val="20"/>
                <w:szCs w:val="20"/>
              </w:rPr>
              <w:t xml:space="preserve">23 cale, wyświetlające obraz w proporcji min. 16:10 </w:t>
            </w:r>
          </w:p>
        </w:tc>
        <w:tc>
          <w:tcPr>
            <w:tcW w:w="1417" w:type="dxa"/>
          </w:tcPr>
          <w:p w14:paraId="63D3CF28" w14:textId="34BC06A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A27B7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BF2A3D" w14:textId="77777777" w:rsidR="009A2D2E" w:rsidRPr="002A27B7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457E6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09" w:type="dxa"/>
            <w:vAlign w:val="center"/>
          </w:tcPr>
          <w:p w14:paraId="64D1D76D" w14:textId="704305B8" w:rsidR="009A2D2E" w:rsidRPr="009A2D2E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Wymagana 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przekątna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–</w:t>
            </w:r>
            <w:r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0 pkt.</w:t>
            </w:r>
          </w:p>
          <w:p w14:paraId="4E6D086B" w14:textId="61426E67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9A2D2E">
              <w:rPr>
                <w:rFonts w:ascii="Garamond" w:eastAsia="Lucida Sans Unicode" w:hAnsi="Garamond"/>
                <w:kern w:val="3"/>
                <w:sz w:val="18"/>
                <w:szCs w:val="18"/>
                <w:lang w:eastAsia="zh-CN" w:bidi="hi-IN"/>
              </w:rPr>
              <w:t>Wyższa niż wymagana – 1 pkt.</w:t>
            </w:r>
          </w:p>
        </w:tc>
      </w:tr>
      <w:tr w:rsidR="009A2D2E" w:rsidRPr="0027782B" w14:paraId="3AA25A5A" w14:textId="77777777" w:rsidTr="00C43E5B">
        <w:tc>
          <w:tcPr>
            <w:tcW w:w="70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50D40" w14:textId="77777777" w:rsidR="009A2D2E" w:rsidRPr="0024269A" w:rsidRDefault="009A2D2E" w:rsidP="0024269A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spacing w:after="0" w:line="288" w:lineRule="auto"/>
              <w:ind w:left="0" w:firstLine="0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26" w:type="dxa"/>
          </w:tcPr>
          <w:p w14:paraId="123A5999" w14:textId="1A919D2F" w:rsidR="009A2D2E" w:rsidRPr="0027782B" w:rsidRDefault="009A2D2E" w:rsidP="009A2D2E">
            <w:pPr>
              <w:suppressAutoHyphens/>
              <w:autoSpaceDN w:val="0"/>
              <w:spacing w:after="0" w:line="288" w:lineRule="auto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 xml:space="preserve">Komputer typu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endpoint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, umożliwiający uruchomienie systemu planowania leczenia, zgodny ze specyfikacją producenta </w:t>
            </w:r>
          </w:p>
        </w:tc>
        <w:tc>
          <w:tcPr>
            <w:tcW w:w="1417" w:type="dxa"/>
          </w:tcPr>
          <w:p w14:paraId="638BF41C" w14:textId="6136F6D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117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20B27D" w14:textId="77777777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41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6C1080" w14:textId="14A8908B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Nie dotyczy</w:t>
            </w:r>
          </w:p>
        </w:tc>
        <w:tc>
          <w:tcPr>
            <w:tcW w:w="2409" w:type="dxa"/>
            <w:vAlign w:val="center"/>
          </w:tcPr>
          <w:p w14:paraId="4CC19C9F" w14:textId="21BDD055" w:rsidR="009A2D2E" w:rsidRPr="0027782B" w:rsidRDefault="009A2D2E" w:rsidP="009A2D2E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  <w:t>- - -</w:t>
            </w:r>
          </w:p>
        </w:tc>
      </w:tr>
      <w:bookmarkEnd w:id="1"/>
    </w:tbl>
    <w:p w14:paraId="63E11D74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4E33D10B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tbl>
      <w:tblPr>
        <w:tblW w:w="145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6943"/>
        <w:gridCol w:w="1558"/>
        <w:gridCol w:w="3401"/>
        <w:gridCol w:w="1984"/>
      </w:tblGrid>
      <w:tr w:rsidR="00BF2237" w:rsidRPr="0027782B" w14:paraId="2D751D59" w14:textId="77777777" w:rsidTr="00C43E5B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6E0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WARUNKI GWARANCJI, SERWISU I SZKOLENIA DLA WSZYSTKICH OFEROWANYCH URZĄDZEŃ</w:t>
            </w:r>
          </w:p>
        </w:tc>
      </w:tr>
      <w:tr w:rsidR="00BF2237" w:rsidRPr="0027782B" w14:paraId="1CB6E1E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9D2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F07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OPIS PARAMETRU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95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WYMAGANY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921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PARAMETR OFEROWANY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7C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</w:pPr>
            <w:r w:rsidRPr="0027782B">
              <w:rPr>
                <w:rFonts w:ascii="Garamond" w:eastAsia="Lucida Sans Unicode" w:hAnsi="Garamond"/>
                <w:b/>
                <w:kern w:val="3"/>
                <w:sz w:val="20"/>
                <w:szCs w:val="20"/>
                <w:lang w:eastAsia="zh-CN" w:bidi="hi-IN"/>
              </w:rPr>
              <w:t>SPOSÓB OCENY</w:t>
            </w:r>
          </w:p>
        </w:tc>
      </w:tr>
      <w:tr w:rsidR="00BF2237" w:rsidRPr="0027782B" w14:paraId="1C016E7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46FD9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9C04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2A8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FD7E8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95C" w14:textId="77777777" w:rsidR="00BF2237" w:rsidRPr="0027782B" w:rsidRDefault="00BF2237" w:rsidP="0027782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en-US"/>
              </w:rPr>
            </w:pPr>
          </w:p>
        </w:tc>
      </w:tr>
      <w:tr w:rsidR="00BF2237" w:rsidRPr="0027782B" w14:paraId="691A67D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3946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3568" w14:textId="7375B190" w:rsidR="00BF2237" w:rsidRPr="0027782B" w:rsidRDefault="0027782B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Okres pełnej, bez </w:t>
            </w:r>
            <w:proofErr w:type="spellStart"/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wyłą</w:t>
            </w:r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>czeń</w:t>
            </w:r>
            <w:proofErr w:type="spellEnd"/>
            <w:r w:rsidR="00BF2237"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14:paraId="209F9DBE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  <w:p w14:paraId="26733607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6045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35F39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7885" w14:textId="759AD623" w:rsidR="00BF2237" w:rsidRPr="0024269A" w:rsidRDefault="002A27B7" w:rsidP="0024269A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Garamond" w:hAnsi="Garamond"/>
                <w:color w:val="000000"/>
                <w:sz w:val="18"/>
                <w:szCs w:val="18"/>
              </w:rPr>
              <w:t>Najdłuższy okres –</w:t>
            </w:r>
            <w:r w:rsidR="00BF2237" w:rsidRPr="0024269A">
              <w:rPr>
                <w:rFonts w:ascii="Garamond" w:hAnsi="Garamond"/>
                <w:color w:val="000000"/>
                <w:sz w:val="18"/>
                <w:szCs w:val="18"/>
              </w:rPr>
              <w:t xml:space="preserve"> 10 pkt.;</w:t>
            </w:r>
          </w:p>
          <w:p w14:paraId="7D4F5FC8" w14:textId="74F3D355" w:rsidR="00BF2237" w:rsidRPr="0027782B" w:rsidRDefault="00BF2237" w:rsidP="002A27B7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Inne – proporcjonalnie mniej</w:t>
            </w:r>
            <w:r w:rsidR="002A27B7">
              <w:rPr>
                <w:rFonts w:ascii="Garamond" w:hAnsi="Garamond"/>
                <w:color w:val="000000"/>
                <w:sz w:val="18"/>
                <w:szCs w:val="18"/>
              </w:rPr>
              <w:t xml:space="preserve"> </w:t>
            </w:r>
            <w:r w:rsidRPr="0024269A">
              <w:rPr>
                <w:rFonts w:ascii="Garamond" w:hAnsi="Garamond"/>
                <w:color w:val="000000"/>
                <w:sz w:val="18"/>
                <w:szCs w:val="18"/>
              </w:rPr>
              <w:t>względem najdłuższego okresu.</w:t>
            </w:r>
          </w:p>
        </w:tc>
      </w:tr>
      <w:tr w:rsidR="00BF2237" w:rsidRPr="0027782B" w14:paraId="3EB3777E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0EFB2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C7CE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0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851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67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3CDA29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BDFFD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9DC4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2C2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24176F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E6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2DDD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3FEF0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DC81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3E38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6D6C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F0A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4012EC2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43A8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D95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 cenie oferty -  przeglądy okresowe w okresie gwarancji (w częstotliwości i w zakresie zgodnym z wymogami producenta)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89B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6935E1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D10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F47F02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7760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643C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AC7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C1AF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57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48AB473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539B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40F6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27782B">
              <w:rPr>
                <w:rFonts w:ascii="Garamond" w:hAnsi="Garamond"/>
                <w:sz w:val="20"/>
                <w:szCs w:val="20"/>
              </w:rPr>
              <w:t>48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D86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0131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56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A3F0A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96F0C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264E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5D6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84BEF7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F58E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90B19C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94A4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F995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BB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C6BDDC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6AFC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6E189E0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79C64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604D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Zakończenie działań serwisowych – do 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5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27782B">
              <w:rPr>
                <w:rFonts w:ascii="Garamond" w:hAnsi="Garamond"/>
                <w:sz w:val="20"/>
                <w:szCs w:val="20"/>
              </w:rPr>
              <w:t>10</w:t>
            </w:r>
            <w:r w:rsidRPr="0027782B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37C0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F5890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2CB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E56BB17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72E91A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68C7" w14:textId="77777777" w:rsidR="00BF2237" w:rsidRPr="0027782B" w:rsidRDefault="00BF2237" w:rsidP="0027782B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przy dostawie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8E6E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200C9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C503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F6477AC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42146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2B95" w14:textId="77777777" w:rsidR="00BF2237" w:rsidRPr="0027782B" w:rsidRDefault="00BF2237" w:rsidP="0027782B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2F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231BC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920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D9952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FE1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45F5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C6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88A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D54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6960F3AA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D408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5D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ciu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miesięcy) okresie pracy urządzeń (dodatkowe szkolenie, </w:t>
            </w:r>
            <w:r w:rsidRPr="0027782B">
              <w:rPr>
                <w:rFonts w:ascii="Garamond" w:hAnsi="Garamond"/>
                <w:sz w:val="20"/>
                <w:szCs w:val="20"/>
              </w:rPr>
              <w:lastRenderedPageBreak/>
              <w:t>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658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A8C4B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EA6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2B074CE0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70ABD5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D38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B06D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D2D73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93A1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36B9ACE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CE87E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00FAD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Liczba i okres szkoleń:</w:t>
            </w:r>
          </w:p>
          <w:p w14:paraId="15363AE3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pierwsze szkolenie - tuż po instalacji systemu, w wymiarze do 2 dni roboczych </w:t>
            </w:r>
          </w:p>
          <w:p w14:paraId="5C7DE48A" w14:textId="77777777" w:rsidR="00BF2237" w:rsidRPr="0027782B" w:rsidRDefault="00BF2237" w:rsidP="002A27B7">
            <w:pPr>
              <w:numPr>
                <w:ilvl w:val="0"/>
                <w:numId w:val="5"/>
              </w:numPr>
              <w:tabs>
                <w:tab w:val="clear" w:pos="360"/>
              </w:tabs>
              <w:spacing w:after="0" w:line="288" w:lineRule="auto"/>
              <w:ind w:left="174" w:hanging="174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dodatkowe, w razie potrzeby, w innym terminie ustalonym z kierownikiem pracowni,</w:t>
            </w:r>
          </w:p>
          <w:p w14:paraId="64B5664F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DF49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CAD4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B72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27782B" w:rsidRPr="0027782B" w14:paraId="120E0D89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F1B5" w14:textId="77777777" w:rsidR="00EB395E" w:rsidRPr="0027782B" w:rsidRDefault="00EB395E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EBC4" w14:textId="6B778998" w:rsidR="00EB395E" w:rsidRPr="0027782B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 xml:space="preserve">Szkolenie ze znajomości środowiska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RayStation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do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protonoterapii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oka w wymiarze 2 dni roboczych dla min </w:t>
            </w:r>
            <w:r w:rsidR="00B16927" w:rsidRPr="0027782B">
              <w:rPr>
                <w:rFonts w:ascii="Garamond" w:hAnsi="Garamond"/>
                <w:sz w:val="20"/>
                <w:szCs w:val="20"/>
              </w:rPr>
              <w:t>12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 osób.  </w:t>
            </w:r>
          </w:p>
          <w:p w14:paraId="44DFC252" w14:textId="2D355812" w:rsidR="00EB395E" w:rsidRPr="0027782B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 xml:space="preserve">Szkolenie z planowania leczenia metodą </w:t>
            </w:r>
            <w:proofErr w:type="spellStart"/>
            <w:r w:rsidRPr="0027782B">
              <w:rPr>
                <w:rFonts w:ascii="Garamond" w:hAnsi="Garamond"/>
                <w:sz w:val="20"/>
                <w:szCs w:val="20"/>
              </w:rPr>
              <w:t>protonoterapii</w:t>
            </w:r>
            <w:proofErr w:type="spellEnd"/>
            <w:r w:rsidRPr="0027782B">
              <w:rPr>
                <w:rFonts w:ascii="Garamond" w:hAnsi="Garamond"/>
                <w:sz w:val="20"/>
                <w:szCs w:val="20"/>
              </w:rPr>
              <w:t xml:space="preserve"> oka:</w:t>
            </w:r>
          </w:p>
          <w:p w14:paraId="728075D7" w14:textId="13362C64" w:rsidR="00EB395E" w:rsidRPr="0027782B" w:rsidRDefault="00EB395E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- lekarze okuliści</w:t>
            </w:r>
            <w:r w:rsidR="001631D7" w:rsidRPr="0027782B">
              <w:rPr>
                <w:rFonts w:ascii="Garamond" w:hAnsi="Garamond"/>
                <w:sz w:val="20"/>
                <w:szCs w:val="20"/>
              </w:rPr>
              <w:t>: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 2 tygodnie </w:t>
            </w:r>
            <w:r w:rsidR="00F840C0" w:rsidRPr="0027782B">
              <w:rPr>
                <w:rFonts w:ascii="Garamond" w:hAnsi="Garamond"/>
                <w:sz w:val="20"/>
                <w:szCs w:val="20"/>
              </w:rPr>
              <w:t xml:space="preserve">w 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wymiarze 10 dni roboczych </w:t>
            </w:r>
            <w:r w:rsidR="00F840C0" w:rsidRPr="0027782B">
              <w:rPr>
                <w:rFonts w:ascii="Garamond" w:hAnsi="Garamond"/>
                <w:sz w:val="20"/>
                <w:szCs w:val="20"/>
              </w:rPr>
              <w:t>min. 4 osoby</w:t>
            </w:r>
          </w:p>
          <w:p w14:paraId="37BE580B" w14:textId="2051ADC1" w:rsidR="00F840C0" w:rsidRPr="0027782B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- lekarze radioterapeuci</w:t>
            </w:r>
            <w:r w:rsidR="001631D7" w:rsidRPr="0027782B">
              <w:rPr>
                <w:rFonts w:ascii="Garamond" w:hAnsi="Garamond"/>
                <w:sz w:val="20"/>
                <w:szCs w:val="20"/>
              </w:rPr>
              <w:t>: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 2 tygodnie w wymiarze 10 dni roboczych min. 4 osoby</w:t>
            </w:r>
          </w:p>
          <w:p w14:paraId="167B5E22" w14:textId="78838C24" w:rsidR="00EB395E" w:rsidRPr="0027782B" w:rsidRDefault="00F840C0" w:rsidP="0027782B">
            <w:pPr>
              <w:pStyle w:val="NormalnyWeb"/>
              <w:shd w:val="clear" w:color="auto" w:fill="FFFFFF"/>
              <w:spacing w:before="0" w:beforeAutospacing="0" w:after="0" w:afterAutospacing="0" w:line="288" w:lineRule="auto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sz w:val="20"/>
                <w:szCs w:val="20"/>
              </w:rPr>
              <w:t>- fizycy medyczni</w:t>
            </w:r>
            <w:r w:rsidR="001631D7" w:rsidRPr="0027782B">
              <w:rPr>
                <w:rFonts w:ascii="Garamond" w:hAnsi="Garamond"/>
                <w:sz w:val="20"/>
                <w:szCs w:val="20"/>
              </w:rPr>
              <w:t>:</w:t>
            </w:r>
            <w:r w:rsidRPr="0027782B">
              <w:rPr>
                <w:rFonts w:ascii="Garamond" w:hAnsi="Garamond"/>
                <w:sz w:val="20"/>
                <w:szCs w:val="20"/>
              </w:rPr>
              <w:t xml:space="preserve"> 4 tygodnie w wymiarze 20 dni roboczych min. 4 osoby, w dwóch ośrodkach referencyjnych (po 2 tygodnie każdy).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0CBB" w14:textId="77777777" w:rsidR="00EB395E" w:rsidRPr="0027782B" w:rsidRDefault="00EB395E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01542" w14:textId="77777777" w:rsidR="00EB395E" w:rsidRPr="0027782B" w:rsidRDefault="00EB395E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F13" w14:textId="77777777" w:rsidR="00EB395E" w:rsidRPr="0027782B" w:rsidRDefault="00EB395E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F2237" w:rsidRPr="0027782B" w14:paraId="0DD959D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B079E" w14:textId="77777777" w:rsidR="00BF2237" w:rsidRPr="0027782B" w:rsidRDefault="00BF2237" w:rsidP="0027782B">
            <w:pPr>
              <w:suppressAutoHyphens/>
              <w:autoSpaceDN w:val="0"/>
              <w:spacing w:after="0" w:line="288" w:lineRule="auto"/>
              <w:ind w:left="502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E8E0" w14:textId="77777777" w:rsidR="00BF2237" w:rsidRPr="0027782B" w:rsidRDefault="00BF2237" w:rsidP="0003032D">
            <w:pPr>
              <w:widowControl w:val="0"/>
              <w:suppressAutoHyphens/>
              <w:snapToGrid w:val="0"/>
              <w:spacing w:after="0" w:line="288" w:lineRule="auto"/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b/>
                <w:bCs/>
                <w:color w:val="000000"/>
                <w:sz w:val="20"/>
                <w:szCs w:val="2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38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589420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ED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</w:tr>
      <w:tr w:rsidR="00BF2237" w:rsidRPr="0027782B" w14:paraId="2CCAC17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75F1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0AF1" w14:textId="77777777" w:rsidR="00BF2237" w:rsidRPr="0027782B" w:rsidRDefault="00BF2237" w:rsidP="0027782B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A1DB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2F346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8E0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39B2C82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CD608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EF0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148A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9D2CA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55D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73172171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0721C9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FC75" w14:textId="77777777" w:rsidR="00BF2237" w:rsidRPr="0027782B" w:rsidRDefault="00BF2237" w:rsidP="0027782B">
            <w:pPr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E8CBF36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 xml:space="preserve">UWAGA – dokumentacja musi zapewnić co najmniej pełną diagnostykę urządzenia, </w:t>
            </w: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wykonywanie drobnych napraw, regulacji, kalibracji, oraz przeglądów okresowych w standardzie wymaganym przez producenta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68F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87ABE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93C7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0C689B4F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AD85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ADC2" w14:textId="77777777" w:rsidR="00BF2237" w:rsidRPr="0027782B" w:rsidRDefault="00BF2237" w:rsidP="0027782B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1DC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4B4D3" w14:textId="77777777" w:rsidR="00BF2237" w:rsidRPr="0027782B" w:rsidRDefault="00BF2237" w:rsidP="0027782B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DEE5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4BEFC348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AEE4F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008D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EF5F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85FAA9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F57F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  <w:tr w:rsidR="00BF2237" w:rsidRPr="0027782B" w14:paraId="1BC51764" w14:textId="77777777" w:rsidTr="00C43E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37932" w14:textId="77777777" w:rsidR="00BF2237" w:rsidRPr="0027782B" w:rsidRDefault="00BF2237" w:rsidP="0027782B">
            <w:pPr>
              <w:numPr>
                <w:ilvl w:val="0"/>
                <w:numId w:val="2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5D6A" w14:textId="77777777" w:rsidR="00BF2237" w:rsidRPr="0027782B" w:rsidRDefault="00BF2237" w:rsidP="0027782B">
            <w:pPr>
              <w:spacing w:after="0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14:paraId="142574B7" w14:textId="77777777" w:rsidR="00BF2237" w:rsidRPr="0027782B" w:rsidRDefault="00BF2237" w:rsidP="0027782B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/>
                <w:i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i/>
                <w:color w:val="000000"/>
                <w:sz w:val="20"/>
                <w:szCs w:val="20"/>
              </w:rPr>
              <w:t>UWAGA – zalecane środki powinny zawierać nazwy związków chemicznych, a nie tylko nazwy handlowe preparatów.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5B6" w14:textId="77777777" w:rsidR="00BF2237" w:rsidRPr="0027782B" w:rsidRDefault="00BF2237" w:rsidP="0027782B">
            <w:pPr>
              <w:spacing w:line="288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14210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D166" w14:textId="77777777" w:rsidR="00BF2237" w:rsidRPr="0027782B" w:rsidRDefault="00BF2237" w:rsidP="0027782B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/>
                <w:sz w:val="20"/>
                <w:szCs w:val="20"/>
                <w:lang w:eastAsia="ar-SA"/>
              </w:rPr>
            </w:pPr>
            <w:r w:rsidRPr="0027782B">
              <w:rPr>
                <w:rFonts w:ascii="Garamond" w:hAnsi="Garamond"/>
                <w:color w:val="000000"/>
                <w:sz w:val="20"/>
                <w:szCs w:val="20"/>
              </w:rPr>
              <w:t>- - -</w:t>
            </w:r>
          </w:p>
        </w:tc>
      </w:tr>
    </w:tbl>
    <w:p w14:paraId="731F08EE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08A675BF" w14:textId="77777777" w:rsidR="00BF2237" w:rsidRPr="0027782B" w:rsidRDefault="00BF2237" w:rsidP="0027782B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sz w:val="20"/>
          <w:szCs w:val="20"/>
          <w:lang w:eastAsia="zh-CN" w:bidi="hi-IN"/>
        </w:rPr>
      </w:pPr>
    </w:p>
    <w:p w14:paraId="74FFC76C" w14:textId="77777777" w:rsidR="000F15DB" w:rsidRPr="0027782B" w:rsidRDefault="000F15DB" w:rsidP="0027782B">
      <w:pPr>
        <w:spacing w:line="288" w:lineRule="auto"/>
        <w:rPr>
          <w:rFonts w:ascii="Garamond" w:hAnsi="Garamond"/>
        </w:rPr>
      </w:pPr>
    </w:p>
    <w:sectPr w:rsidR="000F15DB" w:rsidRPr="0027782B" w:rsidSect="0003032D">
      <w:headerReference w:type="default" r:id="rId7"/>
      <w:pgSz w:w="16838" w:h="11906" w:orient="landscape"/>
      <w:pgMar w:top="17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D092" w14:textId="77777777" w:rsidR="008D393E" w:rsidRDefault="008D393E" w:rsidP="00DB7B4C">
      <w:pPr>
        <w:spacing w:after="0" w:line="240" w:lineRule="auto"/>
      </w:pPr>
      <w:r>
        <w:separator/>
      </w:r>
    </w:p>
  </w:endnote>
  <w:endnote w:type="continuationSeparator" w:id="0">
    <w:p w14:paraId="402473EE" w14:textId="77777777" w:rsidR="008D393E" w:rsidRDefault="008D393E" w:rsidP="00DB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D748" w14:textId="77777777" w:rsidR="008D393E" w:rsidRDefault="008D393E" w:rsidP="00DB7B4C">
      <w:pPr>
        <w:spacing w:after="0" w:line="240" w:lineRule="auto"/>
      </w:pPr>
      <w:r>
        <w:separator/>
      </w:r>
    </w:p>
  </w:footnote>
  <w:footnote w:type="continuationSeparator" w:id="0">
    <w:p w14:paraId="65D3A172" w14:textId="77777777" w:rsidR="008D393E" w:rsidRDefault="008D393E" w:rsidP="00DB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AFB89" w14:textId="2FE28F56" w:rsidR="00DB7B4C" w:rsidRPr="003B1764" w:rsidRDefault="00DB7B4C" w:rsidP="00DB7B4C">
    <w:pPr>
      <w:tabs>
        <w:tab w:val="center" w:pos="4536"/>
        <w:tab w:val="right" w:pos="14040"/>
      </w:tabs>
      <w:spacing w:after="0" w:line="240" w:lineRule="auto"/>
      <w:rPr>
        <w:rFonts w:ascii="Garamond" w:eastAsia="Times New Roman" w:hAnsi="Garamond"/>
        <w:color w:val="000000"/>
        <w:lang w:eastAsia="pl-PL" w:bidi="hi-IN"/>
      </w:rPr>
    </w:pPr>
    <w:r>
      <w:rPr>
        <w:rFonts w:ascii="Garamond" w:eastAsia="Times New Roman" w:hAnsi="Garamond"/>
        <w:color w:val="000000"/>
        <w:lang w:eastAsia="pl-PL" w:bidi="hi-IN"/>
      </w:rPr>
      <w:t>DFP.271.125.2021.AB</w:t>
    </w:r>
  </w:p>
  <w:p w14:paraId="351065FA" w14:textId="77777777" w:rsidR="00DB7B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 xml:space="preserve">Załącznik nr 1a do </w:t>
    </w:r>
    <w:r>
      <w:rPr>
        <w:rFonts w:ascii="Garamond" w:eastAsia="Times New Roman" w:hAnsi="Garamond"/>
        <w:lang w:eastAsia="pl-PL"/>
      </w:rPr>
      <w:t>SWZ</w:t>
    </w:r>
  </w:p>
  <w:p w14:paraId="5124EBEE" w14:textId="77777777" w:rsidR="00DB7B4C" w:rsidRPr="00CB4E4C" w:rsidRDefault="00DB7B4C" w:rsidP="00DB7B4C">
    <w:pPr>
      <w:tabs>
        <w:tab w:val="center" w:pos="4536"/>
        <w:tab w:val="right" w:pos="14040"/>
      </w:tabs>
      <w:spacing w:after="0" w:line="240" w:lineRule="auto"/>
      <w:jc w:val="right"/>
      <w:rPr>
        <w:rFonts w:ascii="Garamond" w:eastAsia="Times New Roman" w:hAnsi="Garamond"/>
        <w:lang w:eastAsia="pl-PL"/>
      </w:rPr>
    </w:pPr>
    <w:r w:rsidRPr="00CB4E4C">
      <w:rPr>
        <w:rFonts w:ascii="Garamond" w:eastAsia="Times New Roman" w:hAnsi="Garamond"/>
        <w:lang w:eastAsia="pl-PL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664949"/>
    <w:multiLevelType w:val="hybridMultilevel"/>
    <w:tmpl w:val="AF90D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5D1D"/>
    <w:multiLevelType w:val="hybridMultilevel"/>
    <w:tmpl w:val="BF489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927DC"/>
    <w:multiLevelType w:val="hybridMultilevel"/>
    <w:tmpl w:val="DA70B9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A37AEE"/>
    <w:multiLevelType w:val="hybridMultilevel"/>
    <w:tmpl w:val="A7889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775582"/>
    <w:multiLevelType w:val="hybridMultilevel"/>
    <w:tmpl w:val="88328D3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60B09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42F76"/>
    <w:multiLevelType w:val="hybridMultilevel"/>
    <w:tmpl w:val="22B4D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10"/>
    <w:rsid w:val="0003032D"/>
    <w:rsid w:val="00076D20"/>
    <w:rsid w:val="000B19CA"/>
    <w:rsid w:val="000F15DB"/>
    <w:rsid w:val="001631D7"/>
    <w:rsid w:val="0024269A"/>
    <w:rsid w:val="00256968"/>
    <w:rsid w:val="0027782B"/>
    <w:rsid w:val="002A27B7"/>
    <w:rsid w:val="002C3160"/>
    <w:rsid w:val="002F0847"/>
    <w:rsid w:val="00375A80"/>
    <w:rsid w:val="00476177"/>
    <w:rsid w:val="004D727A"/>
    <w:rsid w:val="005C1A45"/>
    <w:rsid w:val="005C5EC0"/>
    <w:rsid w:val="006D7CBD"/>
    <w:rsid w:val="00787E84"/>
    <w:rsid w:val="00795AE2"/>
    <w:rsid w:val="00813FA3"/>
    <w:rsid w:val="00820BAA"/>
    <w:rsid w:val="00844122"/>
    <w:rsid w:val="008C180C"/>
    <w:rsid w:val="008D393E"/>
    <w:rsid w:val="00906B33"/>
    <w:rsid w:val="00955D10"/>
    <w:rsid w:val="00982A39"/>
    <w:rsid w:val="009A2D2E"/>
    <w:rsid w:val="009A5CB3"/>
    <w:rsid w:val="009B65AE"/>
    <w:rsid w:val="009E1BD0"/>
    <w:rsid w:val="00AB3A82"/>
    <w:rsid w:val="00AE5D82"/>
    <w:rsid w:val="00B16927"/>
    <w:rsid w:val="00B5169C"/>
    <w:rsid w:val="00B823B6"/>
    <w:rsid w:val="00B9156D"/>
    <w:rsid w:val="00BD6910"/>
    <w:rsid w:val="00BF2237"/>
    <w:rsid w:val="00BF4A04"/>
    <w:rsid w:val="00C43E5B"/>
    <w:rsid w:val="00C56A42"/>
    <w:rsid w:val="00C90171"/>
    <w:rsid w:val="00D85706"/>
    <w:rsid w:val="00DB7B4C"/>
    <w:rsid w:val="00E01AB0"/>
    <w:rsid w:val="00EB395E"/>
    <w:rsid w:val="00ED5426"/>
    <w:rsid w:val="00F840C0"/>
    <w:rsid w:val="00FB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6648A"/>
  <w15:chartTrackingRefBased/>
  <w15:docId w15:val="{CAF16DF1-D312-4329-94BA-A6B63007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22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BF22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2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F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F2237"/>
    <w:rPr>
      <w:rFonts w:ascii="Calibri" w:eastAsia="Calibri" w:hAnsi="Calibri" w:cs="Times New Roman"/>
    </w:rPr>
  </w:style>
  <w:style w:type="paragraph" w:customStyle="1" w:styleId="Default">
    <w:name w:val="Default"/>
    <w:rsid w:val="00BF22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bsatzTableFormat">
    <w:name w:val="AbsatzTableFormat"/>
    <w:basedOn w:val="Normalny"/>
    <w:rsid w:val="00BF2237"/>
    <w:pPr>
      <w:spacing w:after="0" w:line="240" w:lineRule="auto"/>
    </w:pPr>
    <w:rPr>
      <w:rFonts w:ascii="Times New Roman" w:eastAsia="Times New Roman" w:hAnsi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BF2237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/>
      <w:kern w:val="2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B3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82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2A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A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A3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A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A3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2A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A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1675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Anna Bęben</cp:lastModifiedBy>
  <cp:revision>24</cp:revision>
  <cp:lastPrinted>2021-12-01T08:58:00Z</cp:lastPrinted>
  <dcterms:created xsi:type="dcterms:W3CDTF">2021-10-28T07:26:00Z</dcterms:created>
  <dcterms:modified xsi:type="dcterms:W3CDTF">2021-12-01T09:00:00Z</dcterms:modified>
</cp:coreProperties>
</file>