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3C" w:rsidRDefault="003C5B3C" w:rsidP="003C5B3C">
      <w:pPr>
        <w:pStyle w:val="Tytu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3C5B3C" w:rsidRDefault="003C5B3C" w:rsidP="003C5B3C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3C5B3C" w:rsidRPr="006F067E" w:rsidRDefault="00410525" w:rsidP="003C5B3C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 w:rsidRPr="006F067E">
        <w:rPr>
          <w:rFonts w:ascii="Century Gothic" w:hAnsi="Century Gothic"/>
          <w:b/>
          <w:u w:val="single"/>
        </w:rPr>
        <w:t>Aparat do radioterapii śródoperacyjnej</w:t>
      </w:r>
    </w:p>
    <w:p w:rsidR="003C5B3C" w:rsidRDefault="003C5B3C" w:rsidP="003C5B3C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3C5B3C" w:rsidRDefault="003C5B3C" w:rsidP="003C5B3C">
      <w:pPr>
        <w:pStyle w:val="Standard"/>
        <w:rPr>
          <w:rFonts w:ascii="Century Gothic" w:hAnsi="Century Gothic"/>
          <w:sz w:val="18"/>
          <w:szCs w:val="18"/>
        </w:rPr>
      </w:pP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</w:t>
      </w:r>
      <w:r w:rsidRPr="006F067E">
        <w:rPr>
          <w:rFonts w:ascii="Century Gothic" w:hAnsi="Century Gothic"/>
          <w:sz w:val="18"/>
          <w:szCs w:val="18"/>
        </w:rPr>
        <w:t>wcześniej niż 2018), nieużywany</w:t>
      </w:r>
      <w:r>
        <w:rPr>
          <w:rFonts w:ascii="Century Gothic" w:hAnsi="Century Gothic"/>
          <w:sz w:val="18"/>
          <w:szCs w:val="18"/>
        </w:rPr>
        <w:t xml:space="preserve">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>
        <w:rPr>
          <w:rFonts w:ascii="Century Gothic" w:hAnsi="Century Gothic"/>
          <w:sz w:val="18"/>
          <w:szCs w:val="18"/>
        </w:rPr>
        <w:t>rekondycjonowanym</w:t>
      </w:r>
      <w:proofErr w:type="spellEnd"/>
      <w:r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</w:t>
      </w:r>
      <w:r w:rsidRPr="006F067E">
        <w:rPr>
          <w:rFonts w:ascii="Century Gothic" w:hAnsi="Century Gothic"/>
          <w:sz w:val="20"/>
          <w:szCs w:val="20"/>
        </w:rPr>
        <w:t>. 201</w:t>
      </w:r>
      <w:r w:rsidR="0057493A" w:rsidRPr="006F067E">
        <w:rPr>
          <w:rFonts w:ascii="Century Gothic" w:hAnsi="Century Gothic"/>
          <w:sz w:val="20"/>
          <w:szCs w:val="20"/>
        </w:rPr>
        <w:t>8</w:t>
      </w:r>
      <w:r w:rsidRPr="006F067E">
        <w:rPr>
          <w:rFonts w:ascii="Century Gothic" w:hAnsi="Century Gothic"/>
          <w:sz w:val="20"/>
          <w:szCs w:val="20"/>
        </w:rPr>
        <w:t>): …..............</w:t>
      </w: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 w:rsidRPr="006F067E">
        <w:rPr>
          <w:rFonts w:ascii="Century Gothic" w:hAnsi="Century Gothic"/>
          <w:sz w:val="20"/>
          <w:szCs w:val="20"/>
        </w:rPr>
        <w:t>Klasa wyrobu medycznego: ..................</w:t>
      </w:r>
    </w:p>
    <w:p w:rsidR="003C5B3C" w:rsidRDefault="003C5B3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0B65AD" w:rsidRDefault="000B65AD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Pr="006F067E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4F28F3" w:rsidRDefault="004F28F3" w:rsidP="00491879">
      <w:pPr>
        <w:rPr>
          <w:rFonts w:ascii="Century Gothic" w:hAnsi="Century Gothic"/>
          <w:b/>
          <w:sz w:val="20"/>
          <w:szCs w:val="20"/>
        </w:rPr>
      </w:pPr>
    </w:p>
    <w:p w:rsidR="00491879" w:rsidRPr="006F067E" w:rsidRDefault="00491879" w:rsidP="00491879">
      <w:pPr>
        <w:rPr>
          <w:rFonts w:ascii="Century Gothic" w:hAnsi="Century Gothic"/>
          <w:b/>
          <w:sz w:val="20"/>
          <w:szCs w:val="20"/>
        </w:rPr>
      </w:pPr>
      <w:r w:rsidRPr="006F067E">
        <w:rPr>
          <w:rFonts w:ascii="Century Gothic" w:hAnsi="Century Gothic"/>
          <w:b/>
          <w:sz w:val="20"/>
          <w:szCs w:val="20"/>
        </w:rPr>
        <w:lastRenderedPageBreak/>
        <w:t>Parametry techniczne i eksploatacyjne</w:t>
      </w:r>
    </w:p>
    <w:tbl>
      <w:tblPr>
        <w:tblStyle w:val="Tabela-Siatka"/>
        <w:tblW w:w="14024" w:type="dxa"/>
        <w:tblInd w:w="0" w:type="dxa"/>
        <w:tblLook w:val="04A0" w:firstRow="1" w:lastRow="0" w:firstColumn="1" w:lastColumn="0" w:noHBand="0" w:noVBand="1"/>
      </w:tblPr>
      <w:tblGrid>
        <w:gridCol w:w="567"/>
        <w:gridCol w:w="5152"/>
        <w:gridCol w:w="2311"/>
        <w:gridCol w:w="3853"/>
        <w:gridCol w:w="2141"/>
      </w:tblGrid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6F067E" w:rsidRDefault="00D45774" w:rsidP="008D6FB9">
            <w:pPr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l.p.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6E74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 wymagany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 oferowany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ocena pkt.</w:t>
            </w:r>
          </w:p>
        </w:tc>
      </w:tr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6E745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067E">
              <w:rPr>
                <w:rFonts w:ascii="Century Gothic" w:hAnsi="Century Gothic"/>
                <w:b/>
                <w:sz w:val="20"/>
                <w:szCs w:val="20"/>
              </w:rPr>
              <w:t>Wymagania ogólne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6F067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1B6354">
            <w:pPr>
              <w:pStyle w:val="Tekstpodstawowy2"/>
              <w:rPr>
                <w:rFonts w:ascii="Century Gothic" w:hAnsi="Century Gothic" w:cs="Arial"/>
                <w:sz w:val="20"/>
              </w:rPr>
            </w:pPr>
            <w:r w:rsidRPr="006F067E">
              <w:rPr>
                <w:rFonts w:ascii="Century Gothic" w:hAnsi="Century Gothic" w:cs="Arial"/>
                <w:sz w:val="20"/>
              </w:rPr>
              <w:t>Urządzenie fab</w:t>
            </w:r>
            <w:r w:rsidR="001B6354">
              <w:rPr>
                <w:rFonts w:ascii="Century Gothic" w:hAnsi="Century Gothic" w:cs="Arial"/>
                <w:sz w:val="20"/>
              </w:rPr>
              <w:t>rycznie nowe, rok produkcji 2018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F067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6F067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Rodzaj promieniowania terapeutycznego: elektrony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Liczba elektronowych wiązek terapeutycznych min. 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Najniższa energia wiązki terapeutycznej max. 6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Najwyższa energia wiązki terapeutycznej min. 12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Minimalna moc dawki każdej z wiązek, w trybie terapeutycznym (określona na głębokości maksimum, przy SSD=50cm, dla aplikatora o średnicy 10cm) min. 1000cGy/min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Symetria pola promieniowania (w obrębie 1cm wewnątrz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90%, na głębokości maksimum, przy SSD=50cm) max. 3%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Jednorodność pola promieniowania (w obrębie 1cm wewnątrz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90%, na głębokości maksimum, przy SSD=50cm) max. ±7% lub dla pola o średnicy 10 cm max. 7%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6 - 7% - 0 pkt.;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&lt;6 % - 2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Kontaminacja fotonowa w wiązkach elektronowych (na głębokości 10 cm poniżej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10% w wodzie) max. 1%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Konstrukcja przyspieszacza liniowego elektronów bez magnesów zakrzywiających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Podwójny (podstawowy i zapasowy) system kontroli mocy dawki, oparty o komory jonizacyjne z automatyczną korekcją temperatury i ciśnienia atmosferycznego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437B07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D45774" w:rsidRDefault="00437B07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632B3F" w:rsidRDefault="00437B07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Wbudowany zmotoryzowany </w:t>
            </w:r>
            <w:proofErr w:type="spellStart"/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beamstopper</w:t>
            </w:r>
            <w:proofErr w:type="spellEnd"/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2B3F">
              <w:rPr>
                <w:rFonts w:ascii="Century Gothic" w:hAnsi="Century Gothic" w:cs="Calibri"/>
                <w:color w:val="FF0000"/>
                <w:sz w:val="20"/>
                <w:szCs w:val="20"/>
              </w:rPr>
              <w:t>z systemem synchronizacji pozycji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632B3F" w:rsidRDefault="00437B07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D45774" w:rsidRDefault="00437B07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7" w:rsidRPr="00D45774" w:rsidRDefault="00437B07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Zintegrowany pochłaniacz wiązki redukuje rozproszone promieniowanie X (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bremsstrahlung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) do wartości poniżej 200 µ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Gy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przy dawce terapeutycznej 20Gy określonej w odległości SSD=50cm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>wartość najniższa – 3 pkt., większe wartości – 0 pkt.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Wbudowane osłony wewnętrzne redukujące uboczne promieniowanie X  w odległości 3m od pacjenta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Głowica terapeutyczna o trzech stopniach swobody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Ruchy głowicy sterowane silnikami elektrycznymi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Dokładność odczytów mechanicznych położenia głowicy max. 2%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Mobilność urządzenia - możliwość przemieszczania kompletnego urządzenia pomiędzy salami operacyjnymi bez instalacji dodatkowego osprzętu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Możliwość stosowania urządzenia w salach operacyjnych z ewentualną adaptacją radiologiczną Sali operacyjnej w zależności od ilości przeprowadzanych zabiegów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F13F05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Wbudowany, autonomiczny system chłodzenia wodnego systemu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05" w:rsidRPr="00D45774" w:rsidRDefault="00F13F05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807949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815DC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Maksymalna waga części jezdnej systemu max. 1500 kg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D45774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9" w:rsidRPr="00A4340D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</w:pPr>
            <w:r w:rsidRPr="00A4340D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mniej niż 800 [kg </w:t>
            </w:r>
            <w:r w:rsidR="002041ED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] </w:t>
            </w:r>
            <w:r w:rsidRPr="00A4340D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– 3 pkt. </w:t>
            </w:r>
          </w:p>
          <w:p w:rsidR="00807949" w:rsidRPr="00A4340D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</w:pPr>
            <w:r w:rsidRPr="00A4340D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>od 800 do 1200 [kg] – 1 pkt.</w:t>
            </w:r>
          </w:p>
          <w:p w:rsidR="00807949" w:rsidRPr="00A4340D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</w:pPr>
            <w:r w:rsidRPr="00A4340D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>większe wartości – 0 pkt.</w:t>
            </w:r>
          </w:p>
          <w:p w:rsidR="00807949" w:rsidRPr="00A4340D" w:rsidRDefault="00807949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Aplikatory terapeutyczne montowane do stołu operacyjnego za pomocą dedykowanego uchwytu pneumatycznego lub uchwytu - inne rozwiązanie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4F28F3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4F28F3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4F28F3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pneumatyczny - 1 pkt.,;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inne rozwiązanie - 0 pkt.</w:t>
            </w:r>
          </w:p>
          <w:p w:rsidR="005E4ECB" w:rsidRPr="002519DD" w:rsidRDefault="005E4ECB" w:rsidP="004F28F3">
            <w:pPr>
              <w:spacing w:before="100" w:beforeAutospacing="1" w:after="100" w:afterAutospacing="1" w:line="288" w:lineRule="auto"/>
              <w:jc w:val="both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2519DD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Przezierność aplikatorów oraz materiał wykonania aplikatorów nieprzewodzący i zapobiegający porażeniu pacjenta – dodatkowe 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2</w:t>
            </w:r>
            <w:r w:rsidRPr="002519DD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akcesoriów do precyzyjnego mocowania i ustawiania kolimatorów w polu operacyjnym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Układ miękkiego, bezstykowego dokowania aplikatorów terapeutycznych, kontrolowany laserowo - automatyczne ustawianie głowicy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w odległości kilku milimetrów od aplikatora umieszczonego w polu operacyjnym w pozycji terapeutycznej (głowica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nie dotyka do aplikatora)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System planowania leczenia do planowania zabiegów radioterapii śródoperacyjnej wiązkami elektronów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jc w:val="both"/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Oprogramowanie systemu do planowania leczenia 3D do planowania zabiegów radioterapii śródoperacyjnej wiązkami elektronów dla jednej stacji roboczej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lub: urządzenie które </w:t>
            </w:r>
            <w:r w:rsidRPr="00220436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umożliwia dokładne obliczenia rozkładu dawki 2D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Symulacja zabiegu radioterapii śródoperacyjnej na bazie obrazów CT, uzyskanych przed wykonaniem zabiegu chirurgicznego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220436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</w:pP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t>TAK - 1 pkt.</w:t>
            </w:r>
            <w:r w:rsidRPr="00220436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Wybór aplikatora z listy dostępnych aplikatorów, o określonej średnicy i kącie ścięcia końcówki pozycjonowanie aplikatora w przestrzeni oraz w ciele pacjenta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</w:pP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t>TAK - 1 pkt.</w:t>
            </w:r>
            <w:r w:rsidRPr="001D28B5">
              <w:rPr>
                <w:rFonts w:ascii="Century Gothic" w:eastAsia="Times New Roman" w:hAnsi="Century Gothic" w:cs="Calibri"/>
                <w:strike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1D28B5" w:rsidRDefault="005E4ECB" w:rsidP="00C71504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Obliczanie rozkładu dawki pochłoniętej od wiązek elektronowych z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aparatów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elektronów do radioterapii śródoperacyjnej z wykorzystaniem algorytmu typu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Pencil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Beam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lub równoważny, z uwzględnieniem gęstości elektronowej tkanek pacjenta, geometrii wybranego aplikatora, zastosowanego bolusa oraz płytki osłonnej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28B5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>lub:</w:t>
            </w:r>
          </w:p>
          <w:p w:rsidR="005E4ECB" w:rsidRPr="001D28B5" w:rsidRDefault="005E4ECB" w:rsidP="00C71504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 w:rsidRPr="001D28B5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aparat, który umożliwia symulację rozkładu dawki w oparciu o algorytm Monte Carlo w którym, rozkłady dawki obliczane są bardzo szybko w trakcie wykonywanego zabiegu, dla wszystkich aplikatorów oraz stosowanych osłon, co pozwala na podjęcie właściwej decyzji bezpośrednio przed wykonaniem napromieniania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C7150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Generowanie raportów, zawierających komplet informacji o utworzonym planie leczenia IORT min.: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pozycja i orientacja przestrzenna aplikatora, </w:t>
            </w:r>
            <w:r w:rsidR="00094117" w:rsidRPr="00094117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>średnica</w:t>
            </w:r>
            <w:r w:rsidRPr="00094117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aplikatora, kąt ścięcia końcówki aplikatora, kąt ramienia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histogram DVH, przepisana dawka terapeutyczna, sposób normalizacji, liczba jednostek monitorowych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0CDD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>lub: urządzenie</w:t>
            </w:r>
            <w:r w:rsidRPr="00D10CDD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, które posiada możliwość generowania raportu zawierającego komplet informacji o tworzonym planie leczenia IORT(m.in. pozycja, średnica aplikatora, kąt ścięcia końcówki, kąt ramienia aparatu, przepisana dawka terapeutyczna, sposób normalizacji, liczba jednostek monitorowych), nie posiadające możliwości tworzenia histogramu DVH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Stacja robocza dla oferowanego systemu planowania leczenia 3D do radioterapii śródoperacyjnej, w konfiguracji co najmniej: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   1 procesor min. 4-rdzeniowy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min. 4 GB RAM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     2 twarde dyski min. 500GB każdy,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     karta graficzna min. 1GB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    karta sieciowa min. 10/100/1000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Mbps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mysz i klawiatura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monitor LCD min. 23” o rozdzielczości Full HD - min. 2 szt.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     system operacyjny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umożliwiający obsługę wszystkich w/w aplikacji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min. 64 bit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opisać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Aplikatory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2041E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Zestaw aplikatorów cylindrycznych o średnicach w zakresie co najmniej od 3 cm do 10 cm, co max. 1 cm, o kącie końcówki 0° (min. 8 aplikatorów). W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przypadku, gdy niezbędnym do prawidłowej pracy urządzenia, jest użycie bolusów, Wykonawca dostarczy zestaw aplikatorów wraz z bolusami o grubości 5mm i 10mm dla każdego z aplikatorów (min. 16 bolusów)</w:t>
            </w:r>
          </w:p>
          <w:p w:rsidR="005E4ECB" w:rsidRPr="00A06D74" w:rsidRDefault="005E4ECB" w:rsidP="002041ED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 urządzenie </w:t>
            </w:r>
            <w:r w:rsidRPr="00A06D74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nie posiadające aplikatorów co 1cm w wymaganym zakresie, ale pokrywające wymagany przez Zamawiającego zakres, które ze względu na unikatowa konstrukcję aplikatorów nie posiada i nie wymaga stosowania bolusów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opisać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A06D74" w:rsidRDefault="005E4ECB" w:rsidP="002041ED">
            <w:pP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15° (min. 8 aplikatorów). W przypadku, gdy niezbędnym do prawidłowej pracy urządzenia, jest użycie bolusów, Wykonawca dostarczy zestaw aplikatorów wraz z bolusami o grubości 5mm i 10mm dla każdego z aplikatorów (min. 16 bolusów)</w:t>
            </w:r>
            <w:r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 lub urządzenie </w:t>
            </w:r>
            <w:r w:rsidRPr="00A06D74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nie posiadające aplikatorów co 1cm w wymaganym zakresie, ale pokrywające wymagany przez Zamawiającego zakres, które ze względu na unikatowa konstrukcję aplikatorów nie posiada i nie wymaga stosowania bolusów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30° (min. 8 aplikatorów). W przypadku, gdy niezbędnym do prawidłowej pracy urządzenia, jest użycie bolusów, Wykonawca dostarczy zestaw aplikatorów wraz z bolusami o grubości 5mm i 10mm dla każdego z aplikatorów (min. 16 bolusów)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42941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 urządzenie </w:t>
            </w:r>
            <w:r w:rsidRPr="00342941">
              <w:rPr>
                <w:rFonts w:ascii="Century Gothic" w:eastAsia="Calibri" w:hAnsi="Century Gothic"/>
                <w:color w:val="FF0000"/>
                <w:sz w:val="20"/>
                <w:szCs w:val="20"/>
              </w:rPr>
              <w:t xml:space="preserve">nie posiadające </w:t>
            </w:r>
            <w:r w:rsidRPr="00342941">
              <w:rPr>
                <w:rFonts w:ascii="Century Gothic" w:eastAsia="Calibri" w:hAnsi="Century Gothic"/>
                <w:color w:val="FF0000"/>
                <w:sz w:val="20"/>
                <w:szCs w:val="20"/>
              </w:rPr>
              <w:lastRenderedPageBreak/>
              <w:t>aplikatorów co 1cm w wymaganym zakresie, ale pokrywające wymagany przez Zamawiającego zakres, które ze względu na unikatową konstrukcję aplikatorów nie posiada i nie wymaga stosowania bolusów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lastRenderedPageBreak/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Default="005E4ECB" w:rsidP="002041ED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Zestaw płytek osłonnych do ochrony narządów krytycznych, o grubości ok. 10mm i średnicach w zakresie min. 5 - 10 cm (min. 8 szt.)</w:t>
            </w:r>
          </w:p>
          <w:p w:rsidR="005E4ECB" w:rsidRPr="00D45774" w:rsidRDefault="005E4ECB" w:rsidP="002041ED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632B3F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pl-PL"/>
              </w:rPr>
              <w:t xml:space="preserve">lub </w:t>
            </w:r>
            <w:r w:rsidRPr="00632B3F">
              <w:rPr>
                <w:rFonts w:ascii="Century Gothic" w:eastAsia="Calibri" w:hAnsi="Century Gothic"/>
                <w:color w:val="FF0000"/>
                <w:sz w:val="20"/>
                <w:szCs w:val="20"/>
              </w:rPr>
              <w:t>urządzenie posiadające płytki osłonne do ochrony narządów krytycznych w zakresie od 4cm do 9cm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041ED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 </w:t>
            </w:r>
            <w:r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---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Pozostał</w:t>
            </w: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Źródło kontrolne Sr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l-PL"/>
              </w:rPr>
              <w:t>90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 do komory płasko równoległej typu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Roos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z pojemnikiem ochronnym i uchwytem mocującym komorę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1 sztuka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System okablowania  dozymetrycznego typu C-Box na sali operacyjnej,  w której wykorzystywany będzie zamawiany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do radioterapii śródoperacyjnej umożliwiający podłączenie: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dawkomierza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komór jonizacyjnych ze złączem podanym przez Zamawiającego w dniu podpisania umowy,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okablowania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1 komplet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Zamawiający wymaga, aby Wykonawca dostarczył niezbędną dokumentację w dniu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dostawy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, która umożliwi Generalnemu Wykonawcy wykonanie projektu osłon radiologicznych, należy również zabezpieczyć prawidłowe wykonanie testów specjalistycznych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oraz dopasowania pracowni do wymogów oferowanego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E745E">
            <w:pP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D4577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  <w:t>adionawigacja śródoperacyjna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Zasilanie elektryczne 230 VAC. Standardowe podłączenie za pomocą wtyczki prądu jednofazowego, wyposażony w UPS.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Detektor promieniowania gamma na elektromagnetycznym wysięgniku o długości min. 140 cm. Ramię sterowane przyciskiem, który zwalnia hamulce elektromagnetyczne i pozwala na korzystanie z detektora.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Działanie oparte o soczewkę scyntylacyjną wykonaną z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CsI</w:t>
            </w:r>
            <w:proofErr w:type="spellEnd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(Na) i z fotopowielacza wrażliwego na zmiany położenia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eastAsia="F" w:hAnsi="Century Gothic" w:cs="F"/>
                <w:sz w:val="20"/>
                <w:szCs w:val="20"/>
              </w:rPr>
            </w:pPr>
            <w:r w:rsidRPr="00D45774">
              <w:rPr>
                <w:rFonts w:ascii="Century Gothic" w:eastAsia="F" w:hAnsi="Century Gothic" w:cs="F"/>
                <w:sz w:val="20"/>
                <w:szCs w:val="20"/>
              </w:rPr>
              <w:t>Użyteczne pole widzenia: 40 × 40 mm</w:t>
            </w:r>
          </w:p>
          <w:p w:rsidR="005E4ECB" w:rsidRPr="00D45774" w:rsidRDefault="005E4ECB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C71504">
            <w:pPr>
              <w:pStyle w:val="Default"/>
              <w:spacing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Rozdzielczość przestrzenna </w:t>
            </w:r>
            <w:r w:rsidRPr="00842A7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kolimatora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42A7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systemu</w:t>
            </w:r>
            <w:r w:rsidRPr="00D45774">
              <w:rPr>
                <w:rFonts w:ascii="Century Gothic" w:hAnsi="Century Gothic"/>
                <w:sz w:val="20"/>
                <w:szCs w:val="20"/>
              </w:rPr>
              <w:t>: 1.8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C7150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F" w:hAnsi="Century Gothic" w:cs="F"/>
                <w:sz w:val="20"/>
                <w:szCs w:val="20"/>
              </w:rPr>
              <w:t>O</w:t>
            </w:r>
            <w:r w:rsidRPr="00D45774">
              <w:rPr>
                <w:rFonts w:ascii="Century Gothic" w:eastAsia="F" w:hAnsi="Century Gothic" w:cs="F"/>
                <w:sz w:val="20"/>
                <w:szCs w:val="20"/>
              </w:rPr>
              <w:t>gniskowa kolimatora: 31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Ś</w:t>
            </w:r>
            <w:r w:rsidRPr="00D45774">
              <w:rPr>
                <w:rFonts w:ascii="Century Gothic" w:hAnsi="Century Gothic"/>
                <w:sz w:val="20"/>
                <w:szCs w:val="20"/>
              </w:rPr>
              <w:t>rednica: 4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Czułość: 233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cpm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 xml:space="preserve"> w odległości 5 cm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Rozdzielczość dla 140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keV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: 17 %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Obszar detekcji min. 1500mm2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detekcji zarówno w zakresie przedoperacyjnym, śródoperacyjnym jak i pooperacyjnym.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System pozycjonowania lasera (LPS)  w podstawie gamma kamery składający się z dwóch laserów o mocy:</w:t>
            </w:r>
            <w:r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</w:t>
            </w: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mW</w:t>
            </w:r>
            <w:proofErr w:type="spellEnd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i długości fali 635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Detekcja: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węzła wartowniczego,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głowy i szyi,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tarczycy i przytarczyc,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piersi,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stercza,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w zakresie ginekologii,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w zakresie endokrynologii,</w:t>
            </w:r>
          </w:p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głębiej niż 3 cm,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  <w:lang w:val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Znaczniki promieniotwórcze współpracujące z urządzeniem min: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Technet-99m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Ameryk-241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Bar-133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Kobalt-157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Gadolin-153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Gallium- 67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Ind-111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Jod-123</w:t>
            </w:r>
          </w:p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Jod-131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Kompatybilne zewnętrzne sondy promieniowania gamma dla chirurgii otwartej (1 szt.) i laparoskopowej (1 szt.) Obie sondy wyświetlające wyniki pomiarów bezpośrednio na ekranie radionawigacji operacyjnej: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lastRenderedPageBreak/>
              <w:t>- średnica sond max. 12 mm,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długość końcówki laparoskopowej min. 30 cm,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czułość sond w odległości 1 cm od źródła &gt;100cps/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- maksymalna czułość  &gt; 450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cps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zakres mierzonych energii min: 85-200keV,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rozdzielczość kątowa min. </w:t>
            </w:r>
            <w:r w:rsidRPr="00842A7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45º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842A7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40º,</w:t>
            </w:r>
          </w:p>
          <w:p w:rsidR="005E4ECB" w:rsidRPr="00D45774" w:rsidRDefault="005E4ECB" w:rsidP="00C715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sondy sterylizowane.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C7150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Obrazowanie miejsc wysyconych izotopem na monitorach LCD min. 19 cali, ustawione równolegle do siebie tyłem dla personelu po obu stronach 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Obrazowanie w czasie rzeczywistym – usuwana zmiana jest od razu widoczna na ekranach bez konieczności ponownego skanowania obszaru..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Monitor dotykowy min. w części zabiegowej.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Komunikacja poprzez LAN/USB, obsługa formatu DICOM.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Definiowanie i zmiana ustawień operatora – logowanie.</w:t>
            </w:r>
            <w:r w:rsidRPr="00D45774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(dane użytkownika, dane logowania)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eastAsia="en-US"/>
              </w:rPr>
              <w:t>Funkcja „wirtualnej maski” pozwalająca m.in. zasłonić miejsce iniekcji aby wykryć blisko zlokalizowane zmiany.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i wyboru protokołu badania.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i wyboru izotopu do badania.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protokołów interwencyjnych.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akwizycji obrazów i sekwencji.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porównywania obrazów na ekranie aparatu.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Drukowanie obrazów z urządzenia.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Własna przeglądarka obrazów z akwizycji z możliwością edycji obrazów i dodawaniem komentarzy.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F" w:hAnsi="Century Gothic" w:cs="F"/>
                <w:sz w:val="20"/>
                <w:szCs w:val="20"/>
              </w:rPr>
              <w:t xml:space="preserve">Optymalny zakres energii: 50-200 </w:t>
            </w:r>
            <w:proofErr w:type="spellStart"/>
            <w:r w:rsidRPr="00D45774">
              <w:rPr>
                <w:rFonts w:ascii="Century Gothic" w:eastAsia="F" w:hAnsi="Century Gothic" w:cs="F"/>
                <w:sz w:val="20"/>
                <w:szCs w:val="20"/>
              </w:rPr>
              <w:t>keV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zmiany parametrów obrazowania.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Urządzenie mobilne tzn. z możliwością pracy na kilku salach operacyjnych, na podstawie jezdnej.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System kontroli jakości.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Minimalne wyposażenie urządzenia:- sterylne rękawy do urządzenia – 3 szt.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D45774">
              <w:rPr>
                <w:rFonts w:ascii="Century Gothic" w:hAnsi="Century Gothic"/>
                <w:b/>
                <w:sz w:val="20"/>
                <w:szCs w:val="20"/>
              </w:rPr>
              <w:t>INNE WYMOGI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CB" w:rsidRPr="00D45774" w:rsidRDefault="005E4ECB" w:rsidP="00D45774">
            <w:pPr>
              <w:pStyle w:val="Standard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b/>
                <w:sz w:val="16"/>
                <w:szCs w:val="16"/>
                <w:lang w:eastAsia="pl-PL"/>
              </w:rPr>
            </w:pP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od Wykonawcy wymaga się dostarczenia w dniu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dostawy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wytycznych instalacyjnych/dokumentacji techniczno-ruchowej niezbędnej do zainstalowania i uruchomienia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5E4ECB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6F067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Wykonawca zobowiązany jest do przygotowania wytycznych, w postaci dokumentacji, niezbędnych do złożenia wniosku do </w:t>
            </w:r>
            <w:r w:rsidRPr="006F067E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PAA w celu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uzyskania zezwolenia na stosowanie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410525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CB" w:rsidRPr="00D45774" w:rsidRDefault="005E4ECB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</w:tbl>
    <w:p w:rsidR="00491879" w:rsidRPr="00D45774" w:rsidRDefault="00491879" w:rsidP="00D45774">
      <w:pPr>
        <w:spacing w:before="100" w:beforeAutospacing="1" w:after="100" w:afterAutospacing="1" w:line="288" w:lineRule="auto"/>
        <w:rPr>
          <w:rFonts w:ascii="Century Gothic" w:hAnsi="Century Gothic"/>
          <w:sz w:val="20"/>
          <w:szCs w:val="20"/>
        </w:rPr>
      </w:pPr>
    </w:p>
    <w:p w:rsidR="00606D25" w:rsidRDefault="00D64B79" w:rsidP="00606D25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Warunki gwarancji, </w:t>
      </w:r>
      <w:r w:rsidR="00606D25">
        <w:rPr>
          <w:rFonts w:ascii="Century Gothic" w:hAnsi="Century Gothic"/>
          <w:b/>
          <w:color w:val="000000" w:themeColor="text1"/>
          <w:sz w:val="20"/>
          <w:szCs w:val="20"/>
        </w:rPr>
        <w:t>serwisu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 i szkolenia</w:t>
      </w:r>
    </w:p>
    <w:p w:rsidR="00606D25" w:rsidRDefault="00606D25" w:rsidP="00606D25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606D25">
            <w:pPr>
              <w:pStyle w:val="Nagwek3"/>
              <w:numPr>
                <w:ilvl w:val="2"/>
                <w:numId w:val="13"/>
              </w:numPr>
              <w:snapToGrid w:val="0"/>
              <w:spacing w:line="276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606D25" w:rsidRDefault="00606D2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8A7DC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&gt;= </w:t>
            </w:r>
            <w:r w:rsidR="008A7DC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Zakończenie działań serwisowych – do 3 dni roboczych od dnia zgłoszenia awarii, a w przypadku konieczności importu części zamiennych, nie dłuższym niż 7 dni roboczych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  <w:bookmarkStart w:id="0" w:name="_GoBack"/>
            <w:r w:rsidR="00EA5292" w:rsidRPr="00EA5292">
              <w:rPr>
                <w:rFonts w:ascii="Century Gothic" w:hAnsi="Century Gothic"/>
                <w:color w:val="FF0000"/>
                <w:sz w:val="20"/>
                <w:szCs w:val="20"/>
              </w:rPr>
              <w:t>lub Wykonawca dostarczy instrukcję umożliwiającą co najmniej kontrolę sprawności urządzenia i konserwacji oraz przeprowadzi szkolenie dla Personelu technicznego z wymienionego zakresu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30E97">
              <w:rPr>
                <w:rFonts w:ascii="Century Gothic" w:hAnsi="Century Gothic"/>
                <w:sz w:val="20"/>
                <w:szCs w:val="20"/>
              </w:rPr>
              <w:t>16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30E9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C7150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C7150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C7150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6257CA" w:rsidRDefault="006257CA" w:rsidP="00606D25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6257CA" w:rsidRDefault="006257CA" w:rsidP="00606D25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</w:t>
            </w:r>
            <w:r w:rsidR="000B65A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eby, w innym terminie ustalonym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kierownikiem pracowni,</w:t>
            </w:r>
          </w:p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– szkolenia dodatkowe dla wszystkich grup w co najmniej takiej samej liczbie osób jak podano w powyższych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Instrukcja konserwacji, mycia, dezynfekcji i sterylizacji dla zaoferowanych elementów wraz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3C5B3C" w:rsidRDefault="003C5B3C" w:rsidP="0021376C">
      <w:pPr>
        <w:spacing w:after="0" w:line="288" w:lineRule="auto"/>
        <w:rPr>
          <w:rFonts w:ascii="Century Gothic" w:hAnsi="Century Gothic"/>
          <w:b/>
          <w:color w:val="000000" w:themeColor="text1"/>
        </w:rPr>
      </w:pPr>
    </w:p>
    <w:sectPr w:rsidR="003C5B3C" w:rsidSect="004D5E87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8F" w:rsidRDefault="0064108F" w:rsidP="006F32E9">
      <w:pPr>
        <w:spacing w:after="0" w:line="240" w:lineRule="auto"/>
      </w:pPr>
      <w:r>
        <w:separator/>
      </w:r>
    </w:p>
  </w:endnote>
  <w:endnote w:type="continuationSeparator" w:id="0">
    <w:p w:rsidR="0064108F" w:rsidRDefault="0064108F" w:rsidP="006F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Calibri">
    <w:altName w:val="Arial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8F" w:rsidRDefault="0064108F" w:rsidP="006F32E9">
      <w:pPr>
        <w:spacing w:after="0" w:line="240" w:lineRule="auto"/>
      </w:pPr>
      <w:r>
        <w:separator/>
      </w:r>
    </w:p>
  </w:footnote>
  <w:footnote w:type="continuationSeparator" w:id="0">
    <w:p w:rsidR="0064108F" w:rsidRDefault="0064108F" w:rsidP="006F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F3" w:rsidRDefault="004F28F3" w:rsidP="004D5E87">
    <w:pPr>
      <w:tabs>
        <w:tab w:val="center" w:pos="4536"/>
        <w:tab w:val="right" w:pos="1404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</w:pPr>
    <w:r>
      <w:rPr>
        <w:noProof/>
        <w:lang w:eastAsia="pl-PL"/>
      </w:rPr>
      <w:drawing>
        <wp:inline distT="0" distB="0" distL="0" distR="0" wp14:anchorId="5C22A625" wp14:editId="384CC5F0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28F3" w:rsidRDefault="004F28F3" w:rsidP="004D5E87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</w:pPr>
  </w:p>
  <w:p w:rsidR="004F28F3" w:rsidRPr="00ED2FC7" w:rsidRDefault="004F28F3" w:rsidP="004D5E87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</w:t>
    </w:r>
    <w:r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5.2018.AB</w:t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4F28F3" w:rsidRPr="00ED2FC7" w:rsidRDefault="004F28F3" w:rsidP="004D5E87">
    <w:pPr>
      <w:tabs>
        <w:tab w:val="center" w:pos="4536"/>
        <w:tab w:val="right" w:pos="140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>Załącznik nr …… do umowy</w:t>
    </w:r>
  </w:p>
  <w:p w:rsidR="004F28F3" w:rsidRDefault="004F28F3" w:rsidP="004D5E8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0240705D"/>
    <w:multiLevelType w:val="hybridMultilevel"/>
    <w:tmpl w:val="D2361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11EF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51F7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4FC0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317E"/>
    <w:multiLevelType w:val="hybridMultilevel"/>
    <w:tmpl w:val="BEA2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603C1D4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95F3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C2C83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720D9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C3F6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80"/>
    <w:rsid w:val="00012902"/>
    <w:rsid w:val="00047F23"/>
    <w:rsid w:val="00094117"/>
    <w:rsid w:val="000B65AD"/>
    <w:rsid w:val="000E5CBB"/>
    <w:rsid w:val="00194BF4"/>
    <w:rsid w:val="001B6354"/>
    <w:rsid w:val="001D7F3E"/>
    <w:rsid w:val="002041ED"/>
    <w:rsid w:val="0021376C"/>
    <w:rsid w:val="00262308"/>
    <w:rsid w:val="002D0C26"/>
    <w:rsid w:val="002D6ED2"/>
    <w:rsid w:val="00304466"/>
    <w:rsid w:val="00386BDE"/>
    <w:rsid w:val="003965CC"/>
    <w:rsid w:val="003C5B3C"/>
    <w:rsid w:val="003E0A53"/>
    <w:rsid w:val="00410525"/>
    <w:rsid w:val="00437B07"/>
    <w:rsid w:val="00491879"/>
    <w:rsid w:val="004D5E87"/>
    <w:rsid w:val="004F28F3"/>
    <w:rsid w:val="004F74B9"/>
    <w:rsid w:val="005035AB"/>
    <w:rsid w:val="00530E97"/>
    <w:rsid w:val="0057493A"/>
    <w:rsid w:val="005C37E5"/>
    <w:rsid w:val="005E16E7"/>
    <w:rsid w:val="005E4ECB"/>
    <w:rsid w:val="00606D25"/>
    <w:rsid w:val="0061305A"/>
    <w:rsid w:val="0061687A"/>
    <w:rsid w:val="006257CA"/>
    <w:rsid w:val="0064108F"/>
    <w:rsid w:val="006A1E8D"/>
    <w:rsid w:val="006E745E"/>
    <w:rsid w:val="006F067E"/>
    <w:rsid w:val="006F32E9"/>
    <w:rsid w:val="00702B1E"/>
    <w:rsid w:val="007B2508"/>
    <w:rsid w:val="007B316C"/>
    <w:rsid w:val="007C7746"/>
    <w:rsid w:val="007F70EC"/>
    <w:rsid w:val="00807949"/>
    <w:rsid w:val="00815DCF"/>
    <w:rsid w:val="00853812"/>
    <w:rsid w:val="008A2B11"/>
    <w:rsid w:val="008A7DC9"/>
    <w:rsid w:val="008D6FB9"/>
    <w:rsid w:val="008F2BBB"/>
    <w:rsid w:val="00951104"/>
    <w:rsid w:val="00954021"/>
    <w:rsid w:val="00977765"/>
    <w:rsid w:val="009A633E"/>
    <w:rsid w:val="00AD3302"/>
    <w:rsid w:val="00B01F86"/>
    <w:rsid w:val="00B12F70"/>
    <w:rsid w:val="00B21FC4"/>
    <w:rsid w:val="00C03C64"/>
    <w:rsid w:val="00C36480"/>
    <w:rsid w:val="00C71504"/>
    <w:rsid w:val="00D45774"/>
    <w:rsid w:val="00D64B79"/>
    <w:rsid w:val="00E03590"/>
    <w:rsid w:val="00E12945"/>
    <w:rsid w:val="00E75603"/>
    <w:rsid w:val="00EA5292"/>
    <w:rsid w:val="00EF3932"/>
    <w:rsid w:val="00EF6C8C"/>
    <w:rsid w:val="00F13F05"/>
    <w:rsid w:val="00F80E67"/>
    <w:rsid w:val="00FB7A81"/>
    <w:rsid w:val="00FD2756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0F0156-F9FC-4B11-9615-7D67A615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5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1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C5B3C"/>
    <w:pPr>
      <w:keepNext/>
      <w:numPr>
        <w:ilvl w:val="2"/>
        <w:numId w:val="12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06D25"/>
    <w:pPr>
      <w:keepNext/>
      <w:widowControl w:val="0"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right="14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18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491879"/>
    <w:pPr>
      <w:autoSpaceDE w:val="0"/>
    </w:pPr>
    <w:rPr>
      <w:rFonts w:ascii="Calibri, Calibri" w:eastAsia="Calibri, Calibri" w:hAnsi="Calibri, Calibri" w:cs="Calibri, Calibri"/>
      <w:color w:val="000000"/>
    </w:rPr>
  </w:style>
  <w:style w:type="table" w:styleId="Tabela-Siatka">
    <w:name w:val="Table Grid"/>
    <w:basedOn w:val="Standardowy"/>
    <w:uiPriority w:val="59"/>
    <w:rsid w:val="0049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91879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1879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4918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9187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Standard"/>
    <w:next w:val="Podtytu"/>
    <w:link w:val="TytuZnak"/>
    <w:qFormat/>
    <w:rsid w:val="003C5B3C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3C5B3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3C5B3C"/>
    <w:pPr>
      <w:numPr>
        <w:numId w:val="1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3C5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C5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C5B3C"/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Lista-kontynuacja2">
    <w:name w:val="List Continue 2"/>
    <w:basedOn w:val="Lista-kontynuacja"/>
    <w:unhideWhenUsed/>
    <w:rsid w:val="003C5B3C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bsatzTableFormat">
    <w:name w:val="AbsatzTableFormat"/>
    <w:basedOn w:val="Normalny"/>
    <w:autoRedefine/>
    <w:rsid w:val="003C5B3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Lista-kontynuacja24">
    <w:name w:val="Lista - kontynuacja 24"/>
    <w:basedOn w:val="Normalny"/>
    <w:rsid w:val="003C5B3C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Lista-kontynuacja">
    <w:name w:val="List Continue"/>
    <w:basedOn w:val="Normalny"/>
    <w:uiPriority w:val="99"/>
    <w:semiHidden/>
    <w:unhideWhenUsed/>
    <w:rsid w:val="003C5B3C"/>
    <w:pPr>
      <w:spacing w:after="120"/>
      <w:ind w:left="283"/>
      <w:contextualSpacing/>
    </w:pPr>
  </w:style>
  <w:style w:type="character" w:customStyle="1" w:styleId="Nagwek1Znak">
    <w:name w:val="Nagłówek 1 Znak"/>
    <w:basedOn w:val="Domylnaczcionkaakapitu"/>
    <w:link w:val="Nagwek1"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06D2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06D2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06D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2E9"/>
  </w:style>
  <w:style w:type="paragraph" w:styleId="Stopka">
    <w:name w:val="footer"/>
    <w:basedOn w:val="Normalny"/>
    <w:link w:val="Stopka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2815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5</cp:revision>
  <cp:lastPrinted>2018-01-25T07:38:00Z</cp:lastPrinted>
  <dcterms:created xsi:type="dcterms:W3CDTF">2018-02-28T08:31:00Z</dcterms:created>
  <dcterms:modified xsi:type="dcterms:W3CDTF">2018-02-28T10:57:00Z</dcterms:modified>
</cp:coreProperties>
</file>