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A8" w:rsidRDefault="002D2BA8" w:rsidP="002D2BA8">
      <w:pPr>
        <w:pStyle w:val="Tekstpodstawowy"/>
        <w:jc w:val="center"/>
        <w:rPr>
          <w:rFonts w:ascii="Century Gothic" w:hAnsi="Century Gothic"/>
          <w:b/>
          <w:sz w:val="16"/>
          <w:szCs w:val="16"/>
          <w:lang w:val="pl-PL"/>
        </w:rPr>
      </w:pPr>
    </w:p>
    <w:p w:rsidR="002D2BA8" w:rsidRPr="00897EC4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  <w:r w:rsidRPr="00897EC4">
        <w:rPr>
          <w:rFonts w:ascii="Century Gothic" w:hAnsi="Century Gothic"/>
          <w:b/>
          <w:sz w:val="16"/>
          <w:szCs w:val="16"/>
          <w:lang w:val="pl-PL"/>
        </w:rPr>
        <w:t>Z</w:t>
      </w:r>
      <w:proofErr w:type="spellStart"/>
      <w:r w:rsidRPr="00897EC4">
        <w:rPr>
          <w:rFonts w:ascii="Century Gothic" w:hAnsi="Century Gothic"/>
          <w:b/>
          <w:sz w:val="16"/>
          <w:szCs w:val="16"/>
        </w:rPr>
        <w:t>akres</w:t>
      </w:r>
      <w:proofErr w:type="spellEnd"/>
      <w:r w:rsidRPr="00897EC4">
        <w:rPr>
          <w:rFonts w:ascii="Century Gothic" w:hAnsi="Century Gothic"/>
          <w:b/>
          <w:sz w:val="16"/>
          <w:szCs w:val="16"/>
        </w:rPr>
        <w:t xml:space="preserve"> czynności wymaganych do obsługi serwisowej (przeglądy i naprawy z częściami zamiennymi, oraz dostawą lampy </w:t>
      </w:r>
      <w:proofErr w:type="spellStart"/>
      <w:r w:rsidRPr="00897EC4">
        <w:rPr>
          <w:rFonts w:ascii="Century Gothic" w:hAnsi="Century Gothic"/>
          <w:b/>
          <w:sz w:val="16"/>
          <w:szCs w:val="16"/>
        </w:rPr>
        <w:t>rtg</w:t>
      </w:r>
      <w:proofErr w:type="spellEnd"/>
      <w:r w:rsidRPr="00897EC4">
        <w:rPr>
          <w:rFonts w:ascii="Century Gothic" w:hAnsi="Century Gothic"/>
          <w:b/>
          <w:sz w:val="16"/>
          <w:szCs w:val="16"/>
        </w:rPr>
        <w:t xml:space="preserve"> w trybie prawa opcji).</w:t>
      </w:r>
    </w:p>
    <w:p w:rsidR="002D2BA8" w:rsidRPr="00C465B4" w:rsidRDefault="002D2BA8" w:rsidP="002D2BA8">
      <w:pPr>
        <w:ind w:left="360"/>
        <w:rPr>
          <w:rFonts w:ascii="Century Gothic" w:hAnsi="Century Gothic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995475" w:rsidRPr="00C465B4" w:rsidTr="00995475">
        <w:trPr>
          <w:trHeight w:val="174"/>
        </w:trPr>
        <w:tc>
          <w:tcPr>
            <w:tcW w:w="9748" w:type="dxa"/>
          </w:tcPr>
          <w:p w:rsidR="00995475" w:rsidRPr="00C465B4" w:rsidRDefault="00995475" w:rsidP="00112BE6">
            <w:pPr>
              <w:pStyle w:val="Tekstpodstawowy"/>
              <w:rPr>
                <w:rFonts w:ascii="Century Gothic" w:hAnsi="Century Gothic"/>
                <w:b/>
                <w:i/>
                <w:iCs/>
                <w:sz w:val="16"/>
                <w:szCs w:val="16"/>
              </w:rPr>
            </w:pPr>
            <w:r w:rsidRPr="00C465B4">
              <w:rPr>
                <w:rFonts w:ascii="Century Gothic" w:hAnsi="Century Gothic"/>
                <w:b/>
                <w:i/>
                <w:iCs/>
                <w:sz w:val="16"/>
                <w:szCs w:val="16"/>
              </w:rPr>
              <w:t>Aparat</w:t>
            </w:r>
          </w:p>
        </w:tc>
      </w:tr>
      <w:tr w:rsidR="00995475" w:rsidRPr="00C465B4" w:rsidTr="00995475">
        <w:trPr>
          <w:trHeight w:val="732"/>
        </w:trPr>
        <w:tc>
          <w:tcPr>
            <w:tcW w:w="9748" w:type="dxa"/>
          </w:tcPr>
          <w:p w:rsidR="00995475" w:rsidRPr="00C465B4" w:rsidRDefault="00406AB6" w:rsidP="00112BE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Tomograf komputerowy</w:t>
            </w:r>
            <w:r w:rsidR="00995475" w:rsidRPr="00C465B4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995475">
              <w:rPr>
                <w:rFonts w:ascii="Century Gothic" w:hAnsi="Century Gothic" w:cs="Arial"/>
                <w:i/>
                <w:iCs/>
                <w:sz w:val="16"/>
                <w:szCs w:val="16"/>
              </w:rPr>
              <w:t>Aquillion</w:t>
            </w:r>
            <w:proofErr w:type="spellEnd"/>
            <w:r w:rsidR="00995475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64 TSX-101A/HC  </w:t>
            </w:r>
            <w:r w:rsidR="00995475" w:rsidRPr="00C465B4">
              <w:rPr>
                <w:rFonts w:ascii="Century Gothic" w:hAnsi="Century Gothic" w:cs="Arial"/>
                <w:i/>
                <w:iCs/>
                <w:sz w:val="16"/>
                <w:szCs w:val="16"/>
              </w:rPr>
              <w:t>wraz z konsolą operatorską, oraz z stacją roboczą i stanowiskami roboczymi współpracującymi z aparatem</w:t>
            </w:r>
          </w:p>
          <w:p w:rsidR="00995475" w:rsidRPr="00C465B4" w:rsidRDefault="00995475" w:rsidP="00112BE6">
            <w:pPr>
              <w:pStyle w:val="Tekstpodstawowy"/>
              <w:rPr>
                <w:rFonts w:ascii="Century Gothic" w:hAnsi="Century Gothic"/>
                <w:b/>
                <w:i/>
                <w:iCs/>
                <w:sz w:val="16"/>
                <w:szCs w:val="16"/>
              </w:rPr>
            </w:pPr>
          </w:p>
        </w:tc>
      </w:tr>
      <w:tr w:rsidR="00995475" w:rsidRPr="00C465B4" w:rsidTr="00995475">
        <w:trPr>
          <w:trHeight w:val="360"/>
        </w:trPr>
        <w:tc>
          <w:tcPr>
            <w:tcW w:w="9748" w:type="dxa"/>
          </w:tcPr>
          <w:p w:rsidR="00995475" w:rsidRPr="00C465B4" w:rsidRDefault="00995475" w:rsidP="002D2BA8">
            <w:pPr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Dostawa i zamontowanie lampy </w:t>
            </w:r>
            <w:proofErr w:type="spellStart"/>
            <w:r w:rsidRPr="00C465B4">
              <w:rPr>
                <w:rFonts w:ascii="Century Gothic" w:hAnsi="Century Gothic" w:cs="Arial"/>
                <w:i/>
                <w:iCs/>
                <w:sz w:val="16"/>
                <w:szCs w:val="16"/>
              </w:rPr>
              <w:t>rtg</w:t>
            </w:r>
            <w:proofErr w:type="spellEnd"/>
            <w:r w:rsidRPr="00C465B4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do posiadanego tomografu komputerowego </w:t>
            </w:r>
            <w:proofErr w:type="spellStart"/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Aquillion</w:t>
            </w:r>
            <w:proofErr w:type="spellEnd"/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64 TSX w trybie prawa opcji</w:t>
            </w:r>
          </w:p>
        </w:tc>
      </w:tr>
    </w:tbl>
    <w:p w:rsidR="002D2BA8" w:rsidRPr="00C465B4" w:rsidRDefault="002D2BA8" w:rsidP="002D2BA8">
      <w:pPr>
        <w:ind w:left="360"/>
        <w:rPr>
          <w:rFonts w:ascii="Century Gothic" w:hAnsi="Century Gothic" w:cs="Arial"/>
          <w:sz w:val="16"/>
          <w:szCs w:val="16"/>
        </w:rPr>
      </w:pP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6681"/>
        <w:gridCol w:w="2246"/>
        <w:gridCol w:w="2463"/>
        <w:gridCol w:w="2787"/>
      </w:tblGrid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LP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CZYNNOŚĆ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PARAMETR WYMAGANY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PARAMETR OFEROWANY</w:t>
            </w: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SPOSÓB OCENY</w:t>
            </w: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Wykonywanie przeglądów i kontrola jakości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Wykonywanie min. 8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przeglądów okresowych obejmujących czynności wymagane przez producenta – termin przeglądu co ok. 3 miesiące, po ustaleniu z użytkownikiem aparatu (harmonogram przeglądów zostanie ustalony po podpisaniu umowy)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Koszty materiałów potrzebnych do przeglądu w cenie oferty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Sprawdzenie bezpieczeństwa mechanicznego i elektrycznego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Kontrola zużycia części –przekazanie informacji użytkownikowi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Konserwacja i czyszczenie elementów odpowiedzialnych za chłodzenie systemu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6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Konserwacja i smarowanie elementów mechanicznych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0E1AB6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D16834">
              <w:rPr>
                <w:rFonts w:ascii="Century Gothic" w:hAnsi="Century Gothic" w:cs="Arial"/>
                <w:color w:val="2F5496" w:themeColor="accent5" w:themeShade="BF"/>
                <w:sz w:val="16"/>
                <w:szCs w:val="16"/>
              </w:rPr>
              <w:t>7</w:t>
            </w:r>
          </w:p>
        </w:tc>
        <w:tc>
          <w:tcPr>
            <w:tcW w:w="6681" w:type="dxa"/>
          </w:tcPr>
          <w:p w:rsidR="000E1AB6" w:rsidRPr="000E1AB6" w:rsidRDefault="000E1AB6" w:rsidP="000E1AB6">
            <w:pPr>
              <w:pStyle w:val="NormalnyWeb"/>
              <w:rPr>
                <w:rFonts w:ascii="Century Gothic" w:hAnsi="Century Gothic"/>
                <w:color w:val="2F5496" w:themeColor="accent5" w:themeShade="BF"/>
                <w:sz w:val="16"/>
                <w:szCs w:val="16"/>
              </w:rPr>
            </w:pPr>
            <w:r w:rsidRPr="000E1AB6">
              <w:rPr>
                <w:rFonts w:ascii="Century Gothic" w:hAnsi="Century Gothic"/>
                <w:color w:val="2F5496" w:themeColor="accent5" w:themeShade="BF"/>
                <w:sz w:val="16"/>
                <w:szCs w:val="16"/>
              </w:rPr>
              <w:t>Konserwacja oprogramowania systemowego i aplikacji wykorzystywanych przez personel</w:t>
            </w:r>
            <w:r w:rsidRPr="000E1AB6">
              <w:rPr>
                <w:rFonts w:ascii="Century Gothic" w:hAnsi="Century Gothic"/>
                <w:b/>
                <w:bCs/>
                <w:color w:val="2F5496" w:themeColor="accent5" w:themeShade="BF"/>
                <w:sz w:val="16"/>
                <w:szCs w:val="16"/>
              </w:rPr>
              <w:t>.</w:t>
            </w:r>
          </w:p>
        </w:tc>
        <w:tc>
          <w:tcPr>
            <w:tcW w:w="2246" w:type="dxa"/>
          </w:tcPr>
          <w:p w:rsidR="002D2BA8" w:rsidRPr="000E1AB6" w:rsidRDefault="002D2BA8" w:rsidP="00112BE6">
            <w:pPr>
              <w:rPr>
                <w:rFonts w:ascii="Century Gothic" w:hAnsi="Century Gothic" w:cs="Arial"/>
                <w:color w:val="2F5496" w:themeColor="accent5" w:themeShade="BF"/>
                <w:sz w:val="16"/>
                <w:szCs w:val="16"/>
              </w:rPr>
            </w:pPr>
            <w:r w:rsidRPr="000E1AB6">
              <w:rPr>
                <w:rFonts w:ascii="Century Gothic" w:hAnsi="Century Gothic" w:cs="Arial"/>
                <w:color w:val="2F5496" w:themeColor="accent5" w:themeShade="BF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F3270A" w:rsidRDefault="002D2BA8" w:rsidP="00112BE6">
            <w:pPr>
              <w:rPr>
                <w:rFonts w:ascii="Century Gothic" w:hAnsi="Century Gothic" w:cs="Arial"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787" w:type="dxa"/>
          </w:tcPr>
          <w:p w:rsidR="002D2BA8" w:rsidRPr="00F3270A" w:rsidRDefault="002D2BA8" w:rsidP="00112BE6">
            <w:pPr>
              <w:rPr>
                <w:rFonts w:ascii="Century Gothic" w:hAnsi="Century Gothic" w:cs="Arial"/>
                <w:strike/>
                <w:sz w:val="16"/>
                <w:szCs w:val="16"/>
                <w:highlight w:val="yellow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8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Kontrola jakości obrazu, wartości pomiarowych – ewentualna regulacja parametrów pracy aparatu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9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Po przeglądzie – sprawdzenie funkcjonowania aparatu i pozostawienie go w gotowości do pracy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Dokonanie odpowiednich wpisów do paszportu technicznego aparatu w celu udokumentowania przeglądów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Wykonywanie napraw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11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W cenie oferty – wykonywanie nieograniczonej ilości napraw na każde wezwanie użytkownika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12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C465B4">
              <w:rPr>
                <w:rFonts w:ascii="Century Gothic" w:eastAsia="Times New Roman" w:hAnsi="Century Gothic" w:cs="Arial"/>
                <w:sz w:val="16"/>
                <w:szCs w:val="16"/>
              </w:rPr>
              <w:t>Czas przybycia serwisu od wezwania – maks. 2 dni robocze od poniedziałku do piątku z wyłączeniem dni wolnych ustawowo od pracy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>odać całkowitą liczbę dni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najkrótszy czas - 10 pkt; wymagany - 0 pkt; inne proporcjonalnie mniej względem najkrótszej wartości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13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W ramach naprawy – lokalizacja uszkodzenia, diagnozowanie awarii, usuwanie usterek, oraz ich skutków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14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Po naprawie – sprawdzenie funkcjonowania aparatu</w:t>
            </w:r>
            <w:bookmarkStart w:id="0" w:name="_GoBack"/>
            <w:bookmarkEnd w:id="0"/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i pozostawienie go w gotowości do pracy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15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Dokonanie odpowiednich wpisów do paszportu technicznego aparatu w celu udokumentowania napraw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Czas zakoń</w:t>
            </w:r>
            <w:r>
              <w:rPr>
                <w:rFonts w:ascii="Century Gothic" w:hAnsi="Century Gothic" w:cs="Arial"/>
                <w:sz w:val="16"/>
                <w:szCs w:val="16"/>
              </w:rPr>
              <w:t>czenia naprawy nie dłuższy niż 4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dni roboczych od momentu zgłoszenia, a w przypadku konieczności wymiany części zamiennych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czas naprawy nie dłuższy niż 8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dni roboczych od zgłoszenia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Podać całkowitą liczbę dni</w:t>
            </w:r>
          </w:p>
          <w:p w:rsidR="002D2BA8" w:rsidRPr="00C465B4" w:rsidRDefault="00F32F2D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F32F2D">
              <w:rPr>
                <w:rFonts w:ascii="Century Gothic" w:hAnsi="Century Gothic" w:cs="Arial"/>
                <w:sz w:val="16"/>
                <w:szCs w:val="16"/>
              </w:rPr>
              <w:t>Podać dwa parametry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363939" w:rsidRDefault="00363939" w:rsidP="00112BE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każdy parametr</w:t>
            </w:r>
            <w:r w:rsidR="001B45E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:</w:t>
            </w:r>
          </w:p>
          <w:p w:rsidR="002D2BA8" w:rsidRDefault="002D2BA8" w:rsidP="00112BE6">
            <w:pPr>
              <w:rPr>
                <w:rFonts w:ascii="Century Gothic" w:hAnsi="Century Gothic"/>
                <w:sz w:val="16"/>
                <w:szCs w:val="16"/>
              </w:rPr>
            </w:pPr>
            <w:r w:rsidRPr="00C465B4">
              <w:rPr>
                <w:rFonts w:ascii="Century Gothic" w:hAnsi="Century Gothic"/>
                <w:sz w:val="16"/>
                <w:szCs w:val="16"/>
              </w:rPr>
              <w:t>najkrótszy czas - 10 pkt; wymagany - 0 pkt; inne proporcjonalnie mniej względem najkrótszej wartości</w:t>
            </w:r>
            <w:r>
              <w:rPr>
                <w:rFonts w:ascii="Century Gothic" w:hAnsi="Century Gothic"/>
                <w:sz w:val="16"/>
                <w:szCs w:val="16"/>
              </w:rPr>
              <w:t>*</w:t>
            </w:r>
          </w:p>
          <w:p w:rsidR="00170FC6" w:rsidRPr="00C465B4" w:rsidRDefault="00170FC6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17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Koszt części zamiennych jest zawarty w cenie kontraktu (nie dotyczy lampy </w:t>
            </w:r>
            <w:proofErr w:type="spellStart"/>
            <w:r w:rsidRPr="00C465B4">
              <w:rPr>
                <w:rFonts w:ascii="Century Gothic" w:hAnsi="Century Gothic" w:cs="Arial"/>
                <w:sz w:val="16"/>
                <w:szCs w:val="16"/>
              </w:rPr>
              <w:t>rtg</w:t>
            </w:r>
            <w:proofErr w:type="spellEnd"/>
            <w:r w:rsidRPr="00C465B4">
              <w:rPr>
                <w:rFonts w:ascii="Century Gothic" w:hAnsi="Century Gothic" w:cs="Arial"/>
                <w:sz w:val="16"/>
                <w:szCs w:val="16"/>
              </w:rPr>
              <w:t>)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  <w:vAlign w:val="center"/>
          </w:tcPr>
          <w:p w:rsidR="002D2BA8" w:rsidRPr="002D2BA8" w:rsidRDefault="002D2BA8" w:rsidP="00112B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BA8">
              <w:rPr>
                <w:rFonts w:ascii="Century Gothic" w:hAnsi="Century Gothic"/>
                <w:sz w:val="16"/>
                <w:szCs w:val="16"/>
              </w:rPr>
              <w:t>18</w:t>
            </w:r>
          </w:p>
        </w:tc>
        <w:tc>
          <w:tcPr>
            <w:tcW w:w="6681" w:type="dxa"/>
            <w:vAlign w:val="center"/>
          </w:tcPr>
          <w:p w:rsidR="002D2BA8" w:rsidRPr="002D2BA8" w:rsidRDefault="002D2BA8" w:rsidP="00112BE6">
            <w:pPr>
              <w:rPr>
                <w:rFonts w:ascii="Century Gothic" w:hAnsi="Century Gothic"/>
                <w:sz w:val="16"/>
                <w:szCs w:val="16"/>
              </w:rPr>
            </w:pPr>
            <w:r w:rsidRPr="002D2BA8">
              <w:rPr>
                <w:rFonts w:ascii="Century Gothic" w:hAnsi="Century Gothic"/>
                <w:sz w:val="16"/>
                <w:szCs w:val="16"/>
              </w:rPr>
              <w:t>co najmniej 3 miesięcy gwarancji na wymienione części zamienne, liczonej od dnia ich zamontowania i uruchomienia</w:t>
            </w:r>
          </w:p>
        </w:tc>
        <w:tc>
          <w:tcPr>
            <w:tcW w:w="2246" w:type="dxa"/>
            <w:vAlign w:val="center"/>
          </w:tcPr>
          <w:p w:rsidR="002D2BA8" w:rsidRPr="002D2BA8" w:rsidRDefault="002D2BA8" w:rsidP="00112BE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D2BA8">
              <w:rPr>
                <w:rFonts w:ascii="Century Gothic" w:hAnsi="Century Gothic"/>
                <w:sz w:val="16"/>
                <w:szCs w:val="16"/>
              </w:rPr>
              <w:t>tak, podać całkowitą liczbę miesięcy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Pozostałe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19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Zdalna diagnostyka zapewniająca stałe monitorowanie parametrów pracy tomografu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20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Raport serwisowy/ Karta pracy zostanie przesłany na adres </w:t>
            </w:r>
            <w:hyperlink r:id="rId7" w:history="1">
              <w:r w:rsidRPr="00C465B4">
                <w:rPr>
                  <w:rStyle w:val="Hipercze"/>
                  <w:rFonts w:ascii="Century Gothic" w:hAnsi="Century Gothic" w:cs="Arial"/>
                  <w:sz w:val="16"/>
                  <w:szCs w:val="16"/>
                </w:rPr>
                <w:t>ernestlewandowski@su.krakow.pl</w:t>
              </w:r>
            </w:hyperlink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do 5 dni roboczych po zakończeniu przeglądu, lub czynności serwisowych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 xml:space="preserve">Dostawa lampy </w:t>
            </w:r>
            <w:proofErr w:type="spellStart"/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>rtg</w:t>
            </w:r>
            <w:proofErr w:type="spellEnd"/>
            <w:r w:rsidRPr="00C465B4">
              <w:rPr>
                <w:rFonts w:ascii="Century Gothic" w:hAnsi="Century Gothic" w:cs="Arial"/>
                <w:sz w:val="16"/>
                <w:szCs w:val="16"/>
                <w:highlight w:val="lightGray"/>
              </w:rPr>
              <w:t xml:space="preserve"> w trybie prawa opcji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21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  <w:highlight w:val="lightGray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Dostawa i zamontowanie lampy </w:t>
            </w:r>
            <w:proofErr w:type="spellStart"/>
            <w:r w:rsidRPr="00C465B4">
              <w:rPr>
                <w:rFonts w:ascii="Century Gothic" w:hAnsi="Century Gothic" w:cs="Arial"/>
                <w:sz w:val="16"/>
                <w:szCs w:val="16"/>
              </w:rPr>
              <w:t>rtg</w:t>
            </w:r>
            <w:proofErr w:type="spellEnd"/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w ciągu </w:t>
            </w: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 xml:space="preserve"> dni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roboczych </w:t>
            </w:r>
            <w:r w:rsidRPr="00C465B4">
              <w:rPr>
                <w:rFonts w:ascii="Century Gothic" w:hAnsi="Century Gothic" w:cs="Arial"/>
                <w:sz w:val="16"/>
                <w:szCs w:val="16"/>
              </w:rPr>
              <w:t>od zdiagnozowania przez Wykonawcę uszkodzenia lampy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465B4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2D2BA8" w:rsidRPr="00C465B4" w:rsidTr="00112BE6">
        <w:tc>
          <w:tcPr>
            <w:tcW w:w="641" w:type="dxa"/>
          </w:tcPr>
          <w:p w:rsidR="002D2BA8" w:rsidRPr="002D2BA8" w:rsidRDefault="002D2BA8" w:rsidP="002D2BA8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22</w:t>
            </w:r>
          </w:p>
        </w:tc>
        <w:tc>
          <w:tcPr>
            <w:tcW w:w="6681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Gwarancja na dostarczona lampę min. 12 miesięcy, lub 300</w:t>
            </w:r>
            <w:r w:rsidR="00761B34">
              <w:rPr>
                <w:rFonts w:ascii="Century Gothic" w:hAnsi="Century Gothic" w:cs="Arial"/>
                <w:sz w:val="16"/>
                <w:szCs w:val="16"/>
              </w:rPr>
              <w:t> </w:t>
            </w:r>
            <w:r>
              <w:rPr>
                <w:rFonts w:ascii="Century Gothic" w:hAnsi="Century Gothic" w:cs="Arial"/>
                <w:sz w:val="16"/>
                <w:szCs w:val="16"/>
              </w:rPr>
              <w:t>000</w:t>
            </w:r>
            <w:r w:rsidR="00761B34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>skanów w zależności od tego co nastąpi wcześniej</w:t>
            </w:r>
          </w:p>
        </w:tc>
        <w:tc>
          <w:tcPr>
            <w:tcW w:w="2246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Tak, podać całkowitą liczbę miesięcy i skanów</w:t>
            </w:r>
          </w:p>
        </w:tc>
        <w:tc>
          <w:tcPr>
            <w:tcW w:w="2463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787" w:type="dxa"/>
          </w:tcPr>
          <w:p w:rsidR="002D2BA8" w:rsidRPr="00C465B4" w:rsidRDefault="002D2BA8" w:rsidP="00112BE6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2D2BA8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</w:p>
    <w:p w:rsidR="002D2BA8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</w:p>
    <w:p w:rsidR="002D2BA8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</w:p>
    <w:p w:rsidR="002D2BA8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</w:p>
    <w:p w:rsidR="002D2BA8" w:rsidRDefault="002D2BA8" w:rsidP="002D2BA8">
      <w:pPr>
        <w:pStyle w:val="Tekstpodstawowy"/>
        <w:rPr>
          <w:rFonts w:ascii="Century Gothic" w:hAnsi="Century Gothic"/>
          <w:b/>
          <w:sz w:val="16"/>
          <w:szCs w:val="16"/>
        </w:rPr>
      </w:pPr>
    </w:p>
    <w:p w:rsidR="002D2BA8" w:rsidRPr="008B681E" w:rsidRDefault="002D2BA8" w:rsidP="002D2BA8">
      <w:pPr>
        <w:pStyle w:val="Tekstpodstawowy"/>
        <w:ind w:left="720"/>
        <w:rPr>
          <w:rFonts w:ascii="Century Gothic" w:hAnsi="Century Gothic"/>
          <w:b/>
          <w:sz w:val="16"/>
          <w:szCs w:val="16"/>
          <w:lang w:val="pl-PL"/>
        </w:rPr>
      </w:pPr>
      <w:r>
        <w:rPr>
          <w:rFonts w:ascii="Century Gothic" w:hAnsi="Century Gothic"/>
          <w:b/>
          <w:sz w:val="16"/>
          <w:szCs w:val="16"/>
          <w:lang w:val="pl-PL"/>
        </w:rPr>
        <w:t xml:space="preserve">*obliczane wg wzoru    </w:t>
      </w:r>
      <m:oMath>
        <m:f>
          <m:fPr>
            <m:ctrlPr>
              <w:rPr>
                <w:rFonts w:ascii="Cambria Math" w:hAnsi="Cambria Math"/>
                <w:b/>
                <w:i/>
                <w:sz w:val="16"/>
                <w:szCs w:val="16"/>
                <w:lang w:val="pl-P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najkożystniejsza oferta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>
        <w:rPr>
          <w:rFonts w:ascii="Century Gothic" w:hAnsi="Century Gothic"/>
          <w:b/>
          <w:sz w:val="16"/>
          <w:szCs w:val="16"/>
          <w:lang w:val="pl-PL"/>
        </w:rPr>
        <w:t xml:space="preserve"> x 10pkt</w:t>
      </w:r>
    </w:p>
    <w:p w:rsidR="00F03701" w:rsidRDefault="00F03701"/>
    <w:sectPr w:rsidR="00F03701" w:rsidSect="00D959E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ED" w:rsidRDefault="00E04EED" w:rsidP="00995475">
      <w:r>
        <w:separator/>
      </w:r>
    </w:p>
  </w:endnote>
  <w:endnote w:type="continuationSeparator" w:id="0">
    <w:p w:rsidR="00E04EED" w:rsidRDefault="00E04EED" w:rsidP="0099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ED" w:rsidRDefault="00E04EED" w:rsidP="00995475">
      <w:r>
        <w:separator/>
      </w:r>
    </w:p>
  </w:footnote>
  <w:footnote w:type="continuationSeparator" w:id="0">
    <w:p w:rsidR="00E04EED" w:rsidRDefault="00E04EED" w:rsidP="0099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75" w:rsidRPr="00995475" w:rsidRDefault="00995475" w:rsidP="00995475">
    <w:pPr>
      <w:tabs>
        <w:tab w:val="center" w:pos="7371"/>
        <w:tab w:val="right" w:pos="14175"/>
      </w:tabs>
      <w:rPr>
        <w:rFonts w:ascii="Garamond" w:hAnsi="Garamond"/>
        <w:sz w:val="22"/>
        <w:lang w:val="x-none" w:eastAsia="x-none"/>
      </w:rPr>
    </w:pPr>
    <w:r w:rsidRPr="00995475">
      <w:rPr>
        <w:rFonts w:ascii="Garamond" w:hAnsi="Garamond"/>
        <w:sz w:val="22"/>
        <w:lang w:val="x-none" w:eastAsia="x-none"/>
      </w:rPr>
      <w:t>DFP.271.82.2018.KB</w:t>
    </w:r>
    <w:r w:rsidRPr="00995475">
      <w:rPr>
        <w:rFonts w:ascii="Garamond" w:hAnsi="Garamond"/>
        <w:sz w:val="22"/>
        <w:lang w:val="x-none" w:eastAsia="x-none"/>
      </w:rPr>
      <w:tab/>
      <w:t>Zakres czynności</w:t>
    </w:r>
    <w:r w:rsidRPr="00995475">
      <w:rPr>
        <w:rFonts w:ascii="Garamond" w:hAnsi="Garamond"/>
        <w:sz w:val="22"/>
        <w:lang w:val="x-none" w:eastAsia="x-none"/>
      </w:rPr>
      <w:tab/>
      <w:t>załącznik nr 1b do specyfikacji</w:t>
    </w:r>
  </w:p>
  <w:p w:rsidR="00995475" w:rsidRDefault="009954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F32"/>
    <w:multiLevelType w:val="hybridMultilevel"/>
    <w:tmpl w:val="4AE46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A8"/>
    <w:rsid w:val="000E1AB6"/>
    <w:rsid w:val="00170FC6"/>
    <w:rsid w:val="001B45E8"/>
    <w:rsid w:val="002D2BA8"/>
    <w:rsid w:val="00363939"/>
    <w:rsid w:val="00406AB6"/>
    <w:rsid w:val="004968A0"/>
    <w:rsid w:val="007509E0"/>
    <w:rsid w:val="00761B34"/>
    <w:rsid w:val="008E58EC"/>
    <w:rsid w:val="00995475"/>
    <w:rsid w:val="00A970BD"/>
    <w:rsid w:val="00D16834"/>
    <w:rsid w:val="00E04EED"/>
    <w:rsid w:val="00F03701"/>
    <w:rsid w:val="00F3270A"/>
    <w:rsid w:val="00F32F2D"/>
    <w:rsid w:val="00F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9FB"/>
  <w15:chartTrackingRefBased/>
  <w15:docId w15:val="{0C74F15E-DE7B-499C-B1F0-08905B8B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2D2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D2BA8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2D2BA8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BA8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2D2BA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D2B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5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54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5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4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E1AB6"/>
    <w:pPr>
      <w:spacing w:before="100" w:beforeAutospacing="1" w:after="100" w:afterAutospacing="1"/>
    </w:pPr>
    <w:rPr>
      <w:rFonts w:ascii="Calibri" w:eastAsiaTheme="minorHAnsi" w:hAnsi="Calibri" w:cs="Calibri"/>
      <w:color w:val="33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nestlewandowski@su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Katarzyna Brzdękiewicz</cp:lastModifiedBy>
  <cp:revision>5</cp:revision>
  <dcterms:created xsi:type="dcterms:W3CDTF">2018-06-14T07:07:00Z</dcterms:created>
  <dcterms:modified xsi:type="dcterms:W3CDTF">2018-06-14T07:41:00Z</dcterms:modified>
</cp:coreProperties>
</file>