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9A" w:rsidRPr="00076065" w:rsidRDefault="00227B9A" w:rsidP="00227B9A">
      <w:pPr>
        <w:spacing w:after="0" w:line="240" w:lineRule="auto"/>
        <w:rPr>
          <w:rFonts w:ascii="Garamond" w:hAnsi="Garamond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076065" w:rsidTr="00076065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bookmarkStart w:id="0" w:name="_Hlk6143199"/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Dostawa </w:t>
            </w:r>
            <w:r w:rsidR="00E57EF8"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ultrasonografów oddziałowych</w:t>
            </w:r>
            <w:r w:rsidR="00F53C7C"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="00F53C7C"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(z wyposażeniem)</w:t>
            </w:r>
          </w:p>
          <w:p w:rsidR="00227B9A" w:rsidRPr="00076065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wraz z instalacją, uruchomieniem i szkoleniem personelu </w:t>
            </w:r>
          </w:p>
        </w:tc>
      </w:tr>
      <w:tr w:rsidR="00076065" w:rsidRPr="00076065" w:rsidTr="00076065">
        <w:trPr>
          <w:trHeight w:val="406"/>
          <w:jc w:val="center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076065" w:rsidRPr="00076065" w:rsidRDefault="00076065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Część</w:t>
            </w:r>
            <w:r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t>1 - ultrasonograf (z wyposażeniem) dla OK Ortopedii (poradnia)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u w:val="single"/>
          <w:lang w:eastAsia="zh-CN" w:bidi="hi-IN"/>
        </w:rPr>
      </w:pPr>
    </w:p>
    <w:p w:rsidR="00227B9A" w:rsidRPr="00076065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u w:val="single"/>
          <w:lang w:eastAsia="zh-CN" w:bidi="hi-IN"/>
        </w:rPr>
        <w:t>Uwagi i objaśnienia</w:t>
      </w:r>
      <w:r w:rsidRPr="00076065">
        <w:rPr>
          <w:rFonts w:ascii="Garamond" w:eastAsia="Lucida Sans Unicode" w:hAnsi="Garamond"/>
          <w:kern w:val="3"/>
          <w:lang w:eastAsia="zh-CN" w:bidi="hi-IN"/>
        </w:rPr>
        <w:t>:</w:t>
      </w:r>
    </w:p>
    <w:p w:rsidR="00227B9A" w:rsidRPr="00076065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27B9A" w:rsidRPr="00076065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27B9A" w:rsidRPr="00076065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:rsidR="00227B9A" w:rsidRPr="00076065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:rsidR="00076065" w:rsidRDefault="00227B9A" w:rsidP="00076065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076065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076065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:rsidR="00076065" w:rsidRPr="00076065" w:rsidRDefault="00076065" w:rsidP="00076065">
      <w:pPr>
        <w:suppressAutoHyphens/>
        <w:autoSpaceDN w:val="0"/>
        <w:spacing w:after="120" w:line="276" w:lineRule="auto"/>
        <w:ind w:left="720"/>
        <w:jc w:val="both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076065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14"/>
        <w:gridCol w:w="2285"/>
        <w:gridCol w:w="7646"/>
      </w:tblGrid>
      <w:tr w:rsidR="00227B9A" w:rsidRPr="00076065" w:rsidTr="00F53C7C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3414" w:type="dxa"/>
            <w:tcBorders>
              <w:bottom w:val="nil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/>
                <w:color w:val="000000"/>
                <w:lang w:eastAsia="pl-PL"/>
              </w:rPr>
              <w:t>Liczba sztuk</w:t>
            </w:r>
          </w:p>
        </w:tc>
        <w:tc>
          <w:tcPr>
            <w:tcW w:w="7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1CE2" w:rsidRPr="00C41CE2" w:rsidRDefault="00C41CE2" w:rsidP="00C41CE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</w:pPr>
            <w:r w:rsidRPr="00C41CE2"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 xml:space="preserve">Cena sprzętu wraz z dostawą, instalacją i uruchomieniem oraz szkoleniem </w:t>
            </w:r>
          </w:p>
          <w:p w:rsidR="00C41CE2" w:rsidRPr="00076065" w:rsidRDefault="00C41CE2" w:rsidP="00C41CE2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C41CE2"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>(brutto w zł)</w:t>
            </w:r>
          </w:p>
        </w:tc>
      </w:tr>
      <w:tr w:rsidR="00227B9A" w:rsidRPr="00076065" w:rsidTr="00F53C7C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color w:val="000000"/>
                <w:lang w:eastAsia="pl-PL"/>
              </w:rPr>
              <w:t>1.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076065" w:rsidRDefault="00F53C7C" w:rsidP="00E57EF8">
            <w:pPr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/>
                <w:color w:val="000000"/>
              </w:rPr>
              <w:t>Ultrasonograf (z</w:t>
            </w:r>
            <w:r w:rsidR="00836819" w:rsidRPr="00076065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  <w:r w:rsidRPr="00076065">
              <w:rPr>
                <w:rFonts w:ascii="Garamond" w:eastAsia="Times New Roman" w:hAnsi="Garamond"/>
                <w:b/>
                <w:color w:val="000000"/>
              </w:rPr>
              <w:t>wyposażeniem)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76065">
              <w:rPr>
                <w:rFonts w:ascii="Garamond" w:eastAsia="Times New Roman" w:hAnsi="Garamond"/>
                <w:bCs/>
                <w:color w:val="000000"/>
                <w:lang w:eastAsia="pl-PL"/>
              </w:rPr>
              <w:t>1</w:t>
            </w:r>
          </w:p>
        </w:tc>
        <w:tc>
          <w:tcPr>
            <w:tcW w:w="7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B9A" w:rsidRPr="00076065" w:rsidRDefault="00227B9A" w:rsidP="00076065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EC6D5C" w:rsidRPr="00076065" w:rsidRDefault="00EC6D5C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EC6D5C" w:rsidRPr="00076065" w:rsidRDefault="00EC6D5C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076065" w:rsidTr="00076065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076065">
              <w:rPr>
                <w:rFonts w:ascii="Garamond" w:eastAsia="Times New Roman" w:hAnsi="Garamond"/>
                <w:b/>
                <w:kern w:val="3"/>
                <w:lang w:eastAsia="zh-CN"/>
              </w:rPr>
              <w:lastRenderedPageBreak/>
              <w:t>OPIS PRZEDMIOTU ZAMÓWIENIA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Nazwa i typ: ...............................................................................</w:t>
      </w: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Producent / kraj produkcji: ........................................................</w:t>
      </w: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Rok produkcji (min. 2021):  …....................................................</w:t>
      </w: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076065">
        <w:rPr>
          <w:rFonts w:ascii="Garamond" w:eastAsia="Lucida Sans Unicode" w:hAnsi="Garamond"/>
          <w:kern w:val="3"/>
          <w:lang w:eastAsia="zh-CN" w:bidi="hi-IN"/>
        </w:rPr>
        <w:t>Klasa wyrobu medycznego</w:t>
      </w:r>
      <w:r w:rsidR="00076065">
        <w:rPr>
          <w:rFonts w:ascii="Garamond" w:eastAsia="Lucida Sans Unicode" w:hAnsi="Garamond"/>
          <w:kern w:val="3"/>
          <w:lang w:eastAsia="zh-CN" w:bidi="hi-IN"/>
        </w:rPr>
        <w:t xml:space="preserve">: </w:t>
      </w:r>
      <w:r w:rsidRPr="00076065">
        <w:rPr>
          <w:rFonts w:ascii="Garamond" w:eastAsia="Lucida Sans Unicode" w:hAnsi="Garamond"/>
          <w:kern w:val="3"/>
          <w:lang w:eastAsia="zh-CN" w:bidi="hi-IN"/>
        </w:rPr>
        <w:t>.............................</w:t>
      </w:r>
      <w:r w:rsidR="00076065">
        <w:rPr>
          <w:rFonts w:ascii="Garamond" w:eastAsia="Lucida Sans Unicode" w:hAnsi="Garamond"/>
          <w:kern w:val="3"/>
          <w:lang w:eastAsia="zh-CN" w:bidi="hi-IN"/>
        </w:rPr>
        <w:t>............................</w:t>
      </w:r>
    </w:p>
    <w:p w:rsidR="00227B9A" w:rsidRPr="00076065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076065" w:rsidTr="00076065">
        <w:tc>
          <w:tcPr>
            <w:tcW w:w="14601" w:type="dxa"/>
            <w:vAlign w:val="center"/>
          </w:tcPr>
          <w:p w:rsidR="00BB5499" w:rsidRPr="00076065" w:rsidRDefault="00BB5499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PARAMETRY TECHNICZNE I EKSPLOATACYJNE</w:t>
            </w:r>
          </w:p>
        </w:tc>
      </w:tr>
    </w:tbl>
    <w:p w:rsidR="00BB5499" w:rsidRPr="00076065" w:rsidRDefault="00BB5499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076065" w:rsidTr="00710861">
        <w:tc>
          <w:tcPr>
            <w:tcW w:w="709" w:type="dxa"/>
            <w:vAlign w:val="center"/>
          </w:tcPr>
          <w:bookmarkEnd w:id="0"/>
          <w:p w:rsidR="00227B9A" w:rsidRPr="00076065" w:rsidRDefault="00E26854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l.p.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227B9A" w:rsidRPr="00076065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27B9A" w:rsidRPr="00076065" w:rsidRDefault="00227B9A" w:rsidP="00E26854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27B9A" w:rsidRPr="00076065" w:rsidRDefault="00227B9A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227B9A" w:rsidRPr="00076065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SPOSÓB OCENY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  <w:b/>
              </w:rPr>
              <w:t>JEDNOSTKA GŁÓWNA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Aparat ze zintegrowaną stacją roboczą, systemem archiwizacji oraz </w:t>
            </w:r>
            <w:proofErr w:type="spellStart"/>
            <w:r w:rsidRPr="00076065">
              <w:rPr>
                <w:rFonts w:ascii="Garamond" w:hAnsi="Garamond" w:cstheme="minorHAnsi"/>
              </w:rPr>
              <w:t>videoprinterem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B&amp;W sterowanymi z panelu operatora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Zasilanie urządzenia 230V, 50 </w:t>
            </w:r>
            <w:proofErr w:type="spellStart"/>
            <w:r w:rsidRPr="00076065">
              <w:rPr>
                <w:rFonts w:ascii="Garamond" w:hAnsi="Garamond" w:cstheme="minorHAnsi"/>
              </w:rPr>
              <w:t>Hz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Możliwość programowania własnych </w:t>
            </w:r>
            <w:proofErr w:type="spellStart"/>
            <w:r w:rsidRPr="00076065">
              <w:rPr>
                <w:rFonts w:ascii="Garamond" w:hAnsi="Garamond" w:cstheme="minorHAnsi"/>
              </w:rPr>
              <w:t>presetów</w:t>
            </w:r>
            <w:proofErr w:type="spellEnd"/>
            <w:r w:rsidRPr="00076065">
              <w:rPr>
                <w:rFonts w:ascii="Garamond" w:hAnsi="Garamond" w:cstheme="minorHAnsi"/>
              </w:rPr>
              <w:t>: min. 30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Aparat wyposażony w cyfrowy </w:t>
            </w:r>
            <w:proofErr w:type="spellStart"/>
            <w:r w:rsidRPr="00076065">
              <w:rPr>
                <w:rFonts w:ascii="Garamond" w:hAnsi="Garamond" w:cstheme="minorHAnsi"/>
              </w:rPr>
              <w:t>beamformer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Cztery koła skrętne z możliwością blokowania wszystkich kół. Uchwyt do transportu z tyłu urządzenia.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Uchwyt stały niezależny od pozycji panelu operatora.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1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lang w:eastAsia="ar-SA"/>
              </w:rPr>
            </w:pPr>
            <w:r w:rsidRPr="00076065">
              <w:rPr>
                <w:rFonts w:ascii="Garamond" w:hAnsi="Garamond" w:cstheme="minorHAnsi"/>
                <w:lang w:eastAsia="ar-SA"/>
              </w:rPr>
              <w:t xml:space="preserve">Fabrycznie wbudowany monitor klasy min. LED, kolorowy, o przekątnej ekranu minimum 21,5”. Rozdzielczość monitora min. 1920 x 1080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lang w:eastAsia="ar-SA"/>
              </w:rPr>
            </w:pPr>
            <w:r w:rsidRPr="00076065">
              <w:rPr>
                <w:rFonts w:ascii="Garamond" w:hAnsi="Garamond" w:cstheme="minorHAnsi"/>
                <w:lang w:eastAsia="ar-SA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Przekątna wymagana – </w:t>
            </w:r>
            <w:r w:rsidR="00EC6D5C" w:rsidRPr="00076065">
              <w:rPr>
                <w:rFonts w:ascii="Garamond" w:hAnsi="Garamond" w:cstheme="minorHAnsi"/>
              </w:rPr>
              <w:t>0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Wyższa niż wymagana – </w:t>
            </w:r>
            <w:r w:rsidR="00AC51AF" w:rsidRPr="00076065">
              <w:rPr>
                <w:rFonts w:ascii="Garamond" w:hAnsi="Garamond" w:cstheme="minorHAnsi"/>
              </w:rPr>
              <w:t>1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Rozdzielczość wymagana – </w:t>
            </w:r>
            <w:r w:rsidR="00AC51AF" w:rsidRPr="00076065">
              <w:rPr>
                <w:rFonts w:ascii="Garamond" w:hAnsi="Garamond" w:cstheme="minorHAnsi"/>
              </w:rPr>
              <w:t>0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Wyższa niż wymagana – </w:t>
            </w:r>
            <w:r w:rsidR="00AC51AF" w:rsidRPr="00076065">
              <w:rPr>
                <w:rFonts w:ascii="Garamond" w:hAnsi="Garamond" w:cstheme="minorHAnsi"/>
              </w:rPr>
              <w:t>1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Aparat wyposażony w panel dotykowy min. 10,1” 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AC51AF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Przekątna wymagana – 0</w:t>
            </w:r>
            <w:r w:rsidR="001B5917"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Wyższa niż wymagana – </w:t>
            </w:r>
            <w:r w:rsidR="00AC51AF" w:rsidRPr="00076065">
              <w:rPr>
                <w:rFonts w:ascii="Garamond" w:hAnsi="Garamond" w:cstheme="minorHAnsi"/>
              </w:rPr>
              <w:t>1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F70AE1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</w:t>
            </w:r>
            <w:r w:rsidR="001B5917" w:rsidRPr="00076065">
              <w:rPr>
                <w:rFonts w:ascii="Garamond" w:hAnsi="Garamond" w:cstheme="minorHAnsi"/>
              </w:rPr>
              <w:t>anel dotykowy LED lub OLED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2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F70AE1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R</w:t>
            </w:r>
            <w:r w:rsidR="001B5917" w:rsidRPr="00076065">
              <w:rPr>
                <w:rFonts w:ascii="Garamond" w:hAnsi="Garamond" w:cstheme="minorHAnsi"/>
              </w:rPr>
              <w:t>ozdzielczość panelu min. 1280x800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2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Regulacja panelu sterowania góra-dół: oraz lewo prawo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Cyfrowa regulacja TGC dostępna na dotykowym panelu, z funkcją zapamiętywania kilku preferowanych ustawień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Konsola aparatu wyposażona w dwa rodzaje klawiatury alfanumerycznej: wirtualną – dostępną na panelu dotykowym oraz wysuwaną spod panelu operatora.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Manipulator kulowy 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F70AE1">
            <w:pPr>
              <w:spacing w:line="288" w:lineRule="auto"/>
              <w:jc w:val="both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>Manipulator kulowy  wyposażony w system samooczyszczania się z kurzu i zabrudzeń</w:t>
            </w:r>
            <w:r w:rsidR="00F70AE1" w:rsidRPr="00076065">
              <w:rPr>
                <w:rFonts w:ascii="Garamond" w:hAnsi="Garamond" w:cstheme="minorHAnsi"/>
              </w:rPr>
              <w:t xml:space="preserve"> - opisać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color w:val="FF0000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2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Skala szarości: min. 256 odcieni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Cyfrowy układ formowania wiązki ultradźwiękowej min. 1 000 000 kanałów procesowych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Zakres pracy dostępnych głowic obrazowych min. 1-16 MHz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AC51AF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Zakres wymagany – 0</w:t>
            </w:r>
            <w:r w:rsidR="001B5917" w:rsidRPr="00076065">
              <w:rPr>
                <w:rFonts w:ascii="Garamond" w:hAnsi="Garamond" w:cstheme="minorHAnsi"/>
              </w:rPr>
              <w:t xml:space="preserve">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Wyższy niż wymagany – </w:t>
            </w:r>
            <w:r w:rsidR="00AC51AF" w:rsidRPr="00076065">
              <w:rPr>
                <w:rFonts w:ascii="Garamond" w:hAnsi="Garamond" w:cstheme="minorHAnsi"/>
              </w:rPr>
              <w:t>1</w:t>
            </w:r>
            <w:r w:rsidRPr="00076065">
              <w:rPr>
                <w:rFonts w:ascii="Garamond" w:hAnsi="Garamond" w:cstheme="minorHAnsi"/>
              </w:rPr>
              <w:t xml:space="preserve">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Ilość aktywnych, równoważnych gniazd do podłączenia głowic obrazowych: </w:t>
            </w:r>
            <w:r w:rsidR="00076065">
              <w:rPr>
                <w:rFonts w:ascii="Garamond" w:hAnsi="Garamond" w:cstheme="minorHAnsi"/>
              </w:rPr>
              <w:t xml:space="preserve"> </w:t>
            </w:r>
            <w:r w:rsidRPr="00076065">
              <w:rPr>
                <w:rFonts w:ascii="Garamond" w:hAnsi="Garamond" w:cstheme="minorHAnsi"/>
              </w:rPr>
              <w:t>min. 3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Gniazda </w:t>
            </w:r>
            <w:proofErr w:type="spellStart"/>
            <w:r w:rsidRPr="00076065">
              <w:rPr>
                <w:rFonts w:ascii="Garamond" w:hAnsi="Garamond" w:cstheme="minorHAnsi"/>
              </w:rPr>
              <w:t>bezpinowe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2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Ilość obrazów pamięci dynamicznej CINE min. 45000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Archiwizacja danych pacjentów, raportów, obrazów pętli obrazowych na lokalnym dysku twardym: min. 500 GB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Archiwizacja sekwencji filmowych na dysku twardym w czasie badania (równoległe nagrywanie) i po zamrożeniu (pętli CINE).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Możliwość exportu obrazów i pętli obrazowych na dyski CD, DVD, pamięci Pen-Drive w formatach min. BMP, JPG, DICOM, AVI (dla pętli obrazowych)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Fabrycznie wgrane </w:t>
            </w:r>
            <w:proofErr w:type="spellStart"/>
            <w:r w:rsidRPr="00076065">
              <w:rPr>
                <w:rFonts w:ascii="Garamond" w:hAnsi="Garamond" w:cstheme="minorHAnsi"/>
              </w:rPr>
              <w:t>presety</w:t>
            </w:r>
            <w:proofErr w:type="spellEnd"/>
            <w:r w:rsidRPr="00076065">
              <w:rPr>
                <w:rFonts w:ascii="Garamond" w:hAnsi="Garamond" w:cstheme="minorHAnsi"/>
              </w:rPr>
              <w:t>: min. 30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(m.in.: echo dorosłych, echo dzieci, echo serca płodu, I trymestr, II - III trymestr, III trymestr)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Tryb B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Głębokość penetracji min. 2-38cm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Obrazowanie trapezowe na głowicach liniowych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Maksymalna dynamika systemu min. 256 </w:t>
            </w:r>
            <w:proofErr w:type="spellStart"/>
            <w:r w:rsidRPr="00076065">
              <w:rPr>
                <w:rFonts w:ascii="Garamond" w:hAnsi="Garamond" w:cstheme="minorHAnsi"/>
              </w:rPr>
              <w:t>dB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Ilość stref ogniskowania przy nadawaniu minimum 4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</w:t>
            </w:r>
            <w:r w:rsidR="00076065">
              <w:rPr>
                <w:rFonts w:ascii="Garamond" w:hAnsi="Garamond" w:cstheme="minorHAnsi"/>
              </w:rPr>
              <w:t xml:space="preserve">owanie wieloczęstotliwościowe </w:t>
            </w:r>
            <w:r w:rsidRPr="00076065">
              <w:rPr>
                <w:rFonts w:ascii="Garamond" w:hAnsi="Garamond" w:cstheme="minorHAnsi"/>
              </w:rPr>
              <w:t>wykorzystujące technologię obrazowania na kilku częstotliwościach  jednocześnie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Maksymalna prędkość obrazowania (</w:t>
            </w:r>
            <w:proofErr w:type="spellStart"/>
            <w:r w:rsidRPr="00076065">
              <w:rPr>
                <w:rFonts w:ascii="Garamond" w:hAnsi="Garamond" w:cstheme="minorHAnsi"/>
              </w:rPr>
              <w:t>frame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</w:t>
            </w:r>
            <w:proofErr w:type="spellStart"/>
            <w:r w:rsidRPr="00076065">
              <w:rPr>
                <w:rFonts w:ascii="Garamond" w:hAnsi="Garamond" w:cstheme="minorHAnsi"/>
              </w:rPr>
              <w:t>rate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) min. 500 </w:t>
            </w:r>
            <w:proofErr w:type="spellStart"/>
            <w:r w:rsidRPr="00076065">
              <w:rPr>
                <w:rFonts w:ascii="Garamond" w:hAnsi="Garamond" w:cstheme="minorHAnsi"/>
              </w:rPr>
              <w:t>fps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2000 i więcej – 2 pkt.</w:t>
            </w:r>
          </w:p>
          <w:p w:rsidR="001B5917" w:rsidRPr="00076065" w:rsidRDefault="00EC6D5C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Mniejsze wartości – 0</w:t>
            </w:r>
            <w:r w:rsidR="001B5917" w:rsidRPr="00076065">
              <w:rPr>
                <w:rFonts w:ascii="Garamond" w:hAnsi="Garamond" w:cstheme="minorHAnsi"/>
              </w:rPr>
              <w:t xml:space="preserve">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Zoom dla obrazów „na żywo” i zatrzymanych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Całkowita wielkość powiększenia - minimum x8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Możliwość rotacji obrazu o min. 270°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Rotacja o 360 st. – 2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Brak w/w rozwiązania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Zmiana wzmocnienia obrazu zamrożonego i obrazu z pamięci CINE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Obrazowanie harmoniczne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Obrazowanie harmoniczne z odwróconym impulsem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Funkcja automatycznej optymalizacji obrazu przy pomocy jednego przycisku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Tryb 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Doppler Fali Ciągłej (CWD)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3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Doppler Kolorowy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07606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Maksymalna prędkość obrazowania w Dopplerze Kolorowym</w:t>
            </w:r>
            <w:r w:rsidR="00076065">
              <w:rPr>
                <w:rFonts w:ascii="Garamond" w:hAnsi="Garamond" w:cstheme="minorHAnsi"/>
              </w:rPr>
              <w:t xml:space="preserve"> </w:t>
            </w:r>
            <w:r w:rsidRPr="00076065">
              <w:rPr>
                <w:rFonts w:ascii="Garamond" w:hAnsi="Garamond" w:cstheme="minorHAnsi"/>
              </w:rPr>
              <w:t>(</w:t>
            </w:r>
            <w:proofErr w:type="spellStart"/>
            <w:r w:rsidRPr="00076065">
              <w:rPr>
                <w:rFonts w:ascii="Garamond" w:hAnsi="Garamond" w:cstheme="minorHAnsi"/>
              </w:rPr>
              <w:t>frame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</w:t>
            </w:r>
            <w:proofErr w:type="spellStart"/>
            <w:r w:rsidRPr="00076065">
              <w:rPr>
                <w:rFonts w:ascii="Garamond" w:hAnsi="Garamond" w:cstheme="minorHAnsi"/>
              </w:rPr>
              <w:t>rate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) </w:t>
            </w:r>
            <w:r w:rsidR="00F70AE1" w:rsidRPr="00076065">
              <w:rPr>
                <w:rFonts w:ascii="Garamond" w:hAnsi="Garamond" w:cstheme="minorHAnsi"/>
              </w:rPr>
              <w:t xml:space="preserve">- </w:t>
            </w:r>
            <w:r w:rsidRPr="00076065">
              <w:rPr>
                <w:rFonts w:ascii="Garamond" w:hAnsi="Garamond" w:cstheme="minorHAnsi"/>
              </w:rPr>
              <w:t xml:space="preserve">min. 350 </w:t>
            </w:r>
            <w:proofErr w:type="spellStart"/>
            <w:r w:rsidRPr="00076065">
              <w:rPr>
                <w:rFonts w:ascii="Garamond" w:hAnsi="Garamond" w:cstheme="minorHAnsi"/>
              </w:rPr>
              <w:t>fps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Maksymalna częstotliwość PRF dla Dopplera Kolorowego </w:t>
            </w:r>
            <w:r w:rsidR="00F70AE1" w:rsidRPr="00076065">
              <w:rPr>
                <w:rFonts w:ascii="Garamond" w:hAnsi="Garamond" w:cstheme="minorHAnsi"/>
              </w:rPr>
              <w:t xml:space="preserve">- </w:t>
            </w:r>
            <w:r w:rsidRPr="00076065">
              <w:rPr>
                <w:rFonts w:ascii="Garamond" w:hAnsi="Garamond" w:cstheme="minorHAnsi"/>
              </w:rPr>
              <w:t>min. 19 KHz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Maksymalna prędkość w Dopplerze Kolorowym: min. 3.3 m/s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Kąt pochylenia bramki Kolorowego Dopplera </w:t>
            </w:r>
            <w:r w:rsidR="00F70AE1" w:rsidRPr="00076065">
              <w:rPr>
                <w:rFonts w:ascii="Garamond" w:hAnsi="Garamond" w:cstheme="minorHAnsi"/>
              </w:rPr>
              <w:t xml:space="preserve">- </w:t>
            </w:r>
            <w:r w:rsidRPr="00076065">
              <w:rPr>
                <w:rFonts w:ascii="Garamond" w:hAnsi="Garamond" w:cstheme="minorHAnsi"/>
              </w:rPr>
              <w:t>min: +/- 30°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Kierunkowy Doppler Mocy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Doppler Pulsacyjny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Dynamika systemu dla Dopplera Pulsacyjnego w zakresie min. 30-256 </w:t>
            </w:r>
            <w:proofErr w:type="spellStart"/>
            <w:r w:rsidRPr="00076065">
              <w:rPr>
                <w:rFonts w:ascii="Garamond" w:hAnsi="Garamond" w:cstheme="minorHAnsi"/>
              </w:rPr>
              <w:t>dB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3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Maksymalna częstotliwość PRF dla Dopplera Pulsacyjnego min. 22 kHz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Prędkość w Dopplerze Pulsacyjnym min. 8.8 m/s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Regulacja wielkości bramki w Dopplerze Pulsacyjnym min 0,5-20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  <w:lang w:val="en-US"/>
              </w:rPr>
            </w:pPr>
            <w:proofErr w:type="spellStart"/>
            <w:r w:rsidRPr="00076065">
              <w:rPr>
                <w:rFonts w:ascii="Garamond" w:hAnsi="Garamond" w:cstheme="minorHAnsi"/>
                <w:lang w:val="en-US"/>
              </w:rPr>
              <w:t>Tryb</w:t>
            </w:r>
            <w:proofErr w:type="spellEnd"/>
            <w:r w:rsidRPr="00076065">
              <w:rPr>
                <w:rFonts w:ascii="Garamond" w:hAnsi="Garamond" w:cstheme="minorHAnsi"/>
                <w:lang w:val="en-US"/>
              </w:rPr>
              <w:t xml:space="preserve"> Triplex (B+CD/PD+PWD)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Obrazowanie złożeniowe (B+B/CD) w czasie rzeczywistym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Zaawansowany filtr do redukcji szumów </w:t>
            </w:r>
            <w:proofErr w:type="spellStart"/>
            <w:r w:rsidRPr="00076065">
              <w:rPr>
                <w:rFonts w:ascii="Garamond" w:hAnsi="Garamond" w:cstheme="minorHAnsi"/>
              </w:rPr>
              <w:t>speklowych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polepszający jednocześnie obrazowanie w skali szarości oraz skalę kontrastu z jednoczesnym uwydatnieniem granic tkanek - uzyskany obraz jest zbliżony do obrazów MRI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Funkcja obrazująca powiększenie znacznika pomiarowego (lupa), pozwalająca wykonywać pomiary z bardzo dużą precyzją bez konieczności powiększania obszaru zainteresowania. Okno powiększenia wyświetlone poza obrazem diagnostycznym.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 – 3 pkt.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Nie – 0 pkt.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Zaawansowana funkcja obrazowania wysokiej czułości i rozdzielczości do wykrywania i obrazowania bardzo wolnych przepływów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Funkcja obrazowania krzyżowego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Konsola wyposażone w klawisze programowalne. Min 6 klawiszy na panelu operatora. Możliwość przypisania klawiszom różnych funkcji.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Oprogramowanie służące do szczegółowego obrazowania drobnych obiektów (w niewielkim stopniu różniących się </w:t>
            </w:r>
            <w:proofErr w:type="spellStart"/>
            <w:r w:rsidRPr="00076065">
              <w:rPr>
                <w:rFonts w:ascii="Garamond" w:hAnsi="Garamond" w:cstheme="minorHAnsi"/>
              </w:rPr>
              <w:t>echogenicznością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od otaczających tkanek), umożliwiające dokładną wizualizację włókien mięśniowych, przyczepów, ścięgien jak także innych struktur anatomicznych znacznie, poprawiające rozdzielczość uzyskanych obrazów.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Wbudowany moduł służący do tworzenia oraz edycji protokołów badań ultrasonograficznych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Specjalna aplikacja wspomagająca wizualizację igły biopsyjnej na obrazie 2D.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Obrazowanie </w:t>
            </w:r>
            <w:proofErr w:type="spellStart"/>
            <w:r w:rsidRPr="00076065">
              <w:rPr>
                <w:rFonts w:ascii="Garamond" w:hAnsi="Garamond" w:cstheme="minorHAnsi"/>
              </w:rPr>
              <w:t>elstograficzne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typu </w:t>
            </w:r>
            <w:proofErr w:type="spellStart"/>
            <w:r w:rsidRPr="00076065">
              <w:rPr>
                <w:rFonts w:ascii="Garamond" w:hAnsi="Garamond" w:cstheme="minorHAnsi"/>
              </w:rPr>
              <w:t>strain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dostępne na głowicach: liniowych.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Opcja  DICOM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Obrazowanie panoramiczne </w:t>
            </w:r>
            <w:r w:rsidR="00F70AE1" w:rsidRPr="00076065">
              <w:rPr>
                <w:rFonts w:ascii="Garamond" w:hAnsi="Garamond" w:cstheme="minorHAnsi"/>
              </w:rPr>
              <w:t xml:space="preserve">- </w:t>
            </w:r>
            <w:r w:rsidRPr="00076065">
              <w:rPr>
                <w:rFonts w:ascii="Garamond" w:hAnsi="Garamond" w:cstheme="minorHAnsi"/>
              </w:rPr>
              <w:t>min. 70 cm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  <w:r w:rsidR="005A2967" w:rsidRPr="00076065">
              <w:rPr>
                <w:rFonts w:ascii="Garamond" w:hAnsi="Garamond" w:cstheme="minorHAnsi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Oprogramowanie wraz z pakietami pomiarowymi do badań min: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brzusznych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kardiologicznych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ginekologicznych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proofErr w:type="spellStart"/>
            <w:r w:rsidRPr="00076065">
              <w:rPr>
                <w:rFonts w:ascii="Garamond" w:hAnsi="Garamond" w:cstheme="minorHAnsi"/>
              </w:rPr>
              <w:t>mięśniowoszkieletowe</w:t>
            </w:r>
            <w:proofErr w:type="spellEnd"/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położnicze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pediatrycznych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małych narządów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proofErr w:type="spellStart"/>
            <w:r w:rsidRPr="00076065">
              <w:rPr>
                <w:rFonts w:ascii="Garamond" w:hAnsi="Garamond" w:cstheme="minorHAnsi"/>
              </w:rPr>
              <w:t>transkranialne</w:t>
            </w:r>
            <w:proofErr w:type="spellEnd"/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urologicznych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1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naczyniowych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Pomiary podstawowe na obrazie: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pomiar odległości, 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obwodu, 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pola powierzchni, </w:t>
            </w:r>
          </w:p>
          <w:p w:rsidR="001B5917" w:rsidRPr="00076065" w:rsidRDefault="001B5917" w:rsidP="001B5917">
            <w:pPr>
              <w:pStyle w:val="Akapitzlist"/>
              <w:numPr>
                <w:ilvl w:val="0"/>
                <w:numId w:val="12"/>
              </w:num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objętości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D02A5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  <w:b/>
              </w:rPr>
            </w:pPr>
            <w:r w:rsidRPr="00076065">
              <w:rPr>
                <w:rFonts w:ascii="Garamond" w:hAnsi="Garamond" w:cstheme="minorHAnsi"/>
                <w:b/>
              </w:rPr>
              <w:t>GŁOWICE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b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Głowica </w:t>
            </w:r>
            <w:proofErr w:type="spellStart"/>
            <w:r w:rsidRPr="00076065">
              <w:rPr>
                <w:rFonts w:ascii="Garamond" w:hAnsi="Garamond" w:cstheme="minorHAnsi"/>
              </w:rPr>
              <w:t>convex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wykonana w technologii Single </w:t>
            </w:r>
            <w:proofErr w:type="spellStart"/>
            <w:r w:rsidRPr="00076065">
              <w:rPr>
                <w:rFonts w:ascii="Garamond" w:hAnsi="Garamond" w:cstheme="minorHAnsi"/>
              </w:rPr>
              <w:t>Cristal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do badań brzusznych oraz ginekologiczno-położniczych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-Zakres częstotliwości pracy min. 1-7 MHz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-Ilość elementów: min. 160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-Kąt skanowania:  min. 70°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Tak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 xml:space="preserve">Głowica liniowa do badań </w:t>
            </w:r>
            <w:proofErr w:type="spellStart"/>
            <w:r w:rsidRPr="00076065">
              <w:rPr>
                <w:rFonts w:ascii="Garamond" w:hAnsi="Garamond" w:cstheme="minorHAnsi"/>
              </w:rPr>
              <w:t>mięśnioszkieletowych</w:t>
            </w:r>
            <w:proofErr w:type="spellEnd"/>
            <w:r w:rsidRPr="00076065">
              <w:rPr>
                <w:rFonts w:ascii="Garamond" w:hAnsi="Garamond" w:cstheme="minorHAnsi"/>
              </w:rPr>
              <w:t>, małych narządów, naczyniowych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Zakres częstotliwości pracy min. 5-12 MHz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-Ilość elementów: min. 256</w:t>
            </w:r>
          </w:p>
          <w:p w:rsidR="001B5917" w:rsidRPr="00076065" w:rsidRDefault="001B5917" w:rsidP="00F70AE1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-szerokość skanu: min. 40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Głowica liniowa typu „</w:t>
            </w:r>
            <w:proofErr w:type="spellStart"/>
            <w:r w:rsidRPr="00076065">
              <w:rPr>
                <w:rFonts w:ascii="Garamond" w:hAnsi="Garamond" w:cstheme="minorHAnsi"/>
              </w:rPr>
              <w:t>hockey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” do badań </w:t>
            </w:r>
            <w:proofErr w:type="spellStart"/>
            <w:r w:rsidRPr="00076065">
              <w:rPr>
                <w:rFonts w:ascii="Garamond" w:hAnsi="Garamond" w:cstheme="minorHAnsi"/>
              </w:rPr>
              <w:t>mięśnioszkieletowych</w:t>
            </w:r>
            <w:proofErr w:type="spellEnd"/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Zakres częstotliwości pracy min. 7-15 MHz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-Ilość elementów: min. 128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-szerokość skanu: max 26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  <w:b/>
              </w:rPr>
              <w:t>URZĄDZENIA PERYFERYJNE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b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proofErr w:type="spellStart"/>
            <w:r w:rsidRPr="00076065">
              <w:rPr>
                <w:rFonts w:ascii="Garamond" w:hAnsi="Garamond" w:cstheme="minorHAnsi"/>
              </w:rPr>
              <w:t>Videoprinter</w:t>
            </w:r>
            <w:proofErr w:type="spellEnd"/>
            <w:r w:rsidRPr="00076065">
              <w:rPr>
                <w:rFonts w:ascii="Garamond" w:hAnsi="Garamond" w:cstheme="minorHAnsi"/>
              </w:rPr>
              <w:t xml:space="preserve"> – medyczny, cyfrowy B/W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D02A5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  <w:b/>
              </w:rPr>
              <w:t>MOŻLIWOŚCI ROZBUDOWY SYSTEMU DOSTĘPNE NA DZIEŃ SKŁADANIA OFERT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Możliwość rozbudowy o głowicę liniową do badań mięśniowo-szkieletowych, małych narządów, naczyniowych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Zakres częstotliwości pracy min. 3-16 MHz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-Ilość elementów: min. 192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-szerokość skanu: max 40 mm</w:t>
            </w:r>
          </w:p>
          <w:p w:rsidR="001B5917" w:rsidRPr="00076065" w:rsidRDefault="001B5917" w:rsidP="001B5917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-możliwość podłączenia przystawki biopsyjnej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lastRenderedPageBreak/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B5917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B5917" w:rsidRPr="00076065" w:rsidRDefault="001B5917" w:rsidP="001B591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C0703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Możliwość rozbudowy o podgrzewacz do żelu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D02A55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T</w:t>
            </w:r>
            <w:r w:rsidR="001B5917" w:rsidRPr="00076065">
              <w:rPr>
                <w:rFonts w:ascii="Garamond" w:hAnsi="Garamond" w:cstheme="minorHAnsi"/>
              </w:rPr>
              <w:t>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917" w:rsidRPr="00076065" w:rsidRDefault="001B5917" w:rsidP="001B5917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17" w:rsidRPr="00076065" w:rsidRDefault="001B5917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3417C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3417C" w:rsidRPr="00076065" w:rsidRDefault="0013417C" w:rsidP="00076065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C0703">
            <w:pPr>
              <w:spacing w:line="288" w:lineRule="auto"/>
              <w:jc w:val="both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Możliwość rozbudowy o wbudowaną baterię pozwalającą na min. 25 minut pracy aparatu w podstawowym trybie skanowania. Bateria pozwala</w:t>
            </w:r>
            <w:r w:rsidR="00F70AE1" w:rsidRPr="00076065">
              <w:rPr>
                <w:rFonts w:ascii="Garamond" w:hAnsi="Garamond" w:cstheme="minorHAnsi"/>
              </w:rPr>
              <w:t>jąca</w:t>
            </w:r>
            <w:r w:rsidRPr="00076065">
              <w:rPr>
                <w:rFonts w:ascii="Garamond" w:hAnsi="Garamond" w:cstheme="minorHAnsi"/>
              </w:rPr>
              <w:t xml:space="preserve"> na bezpieczne zakończenie i zapisanie badanie podczas awarii elektryczności.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7C" w:rsidRPr="00076065" w:rsidRDefault="0013417C" w:rsidP="00076065">
            <w:pPr>
              <w:spacing w:line="288" w:lineRule="auto"/>
              <w:rPr>
                <w:rFonts w:ascii="Garamond" w:hAnsi="Garamond" w:cstheme="minorHAnsi"/>
                <w:i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 w:cstheme="minorHAnsi"/>
              </w:rPr>
            </w:pPr>
            <w:r w:rsidRPr="00076065">
              <w:rPr>
                <w:rFonts w:ascii="Garamond" w:hAnsi="Garamond" w:cstheme="minorHAnsi"/>
              </w:rPr>
              <w:t>- - -</w:t>
            </w:r>
          </w:p>
        </w:tc>
      </w:tr>
      <w:tr w:rsidR="0013417C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3417C" w:rsidRPr="00076065" w:rsidRDefault="0013417C" w:rsidP="0013417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417C" w:rsidRPr="00076065" w:rsidRDefault="0013417C" w:rsidP="0013417C">
            <w:pPr>
              <w:spacing w:line="288" w:lineRule="auto"/>
              <w:rPr>
                <w:rFonts w:ascii="Garamond" w:hAnsi="Garamond" w:cs="Times New Roman"/>
                <w:b/>
                <w:color w:val="000000" w:themeColor="text1"/>
              </w:rPr>
            </w:pPr>
            <w:r w:rsidRPr="00076065">
              <w:rPr>
                <w:rFonts w:ascii="Garamond" w:hAnsi="Garamond" w:cs="Arial"/>
                <w:b/>
              </w:rPr>
              <w:t>Inne aspekty (środowiskowe, społeczne, innowacyjne)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7C" w:rsidRPr="00076065" w:rsidRDefault="0013417C" w:rsidP="0013417C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13417C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3417C" w:rsidRPr="00076065" w:rsidRDefault="0013417C" w:rsidP="0013417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417C" w:rsidRPr="00076065" w:rsidRDefault="00D02A55" w:rsidP="0013417C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T</w:t>
            </w:r>
            <w:r w:rsidR="0013417C" w:rsidRPr="00076065">
              <w:rPr>
                <w:rFonts w:ascii="Garamond" w:hAnsi="Garamond"/>
              </w:rPr>
              <w:t>ryb niskiego poboru mocy [kW/h]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76065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7C" w:rsidRPr="00076065" w:rsidRDefault="0013417C" w:rsidP="0013417C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13417C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3417C" w:rsidRPr="00076065" w:rsidRDefault="0013417C" w:rsidP="0013417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417C" w:rsidRPr="00076065" w:rsidRDefault="00D02A55" w:rsidP="0013417C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="0013417C" w:rsidRPr="00076065">
              <w:rPr>
                <w:rFonts w:ascii="Garamond" w:hAnsi="Garamond"/>
              </w:rPr>
              <w:t>ożliwość automatycznego przechodzenia urządzenia w tryb czuwania/niskiego poboru mocy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76065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7C" w:rsidRPr="00076065" w:rsidRDefault="0013417C" w:rsidP="0013417C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13417C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3417C" w:rsidRPr="00076065" w:rsidRDefault="0013417C" w:rsidP="0013417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417C" w:rsidRPr="00076065" w:rsidRDefault="00D02A55" w:rsidP="0013417C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="0013417C" w:rsidRPr="00076065">
              <w:rPr>
                <w:rFonts w:ascii="Garamond" w:hAnsi="Garamond"/>
              </w:rPr>
              <w:t>ożliwość podtrzymania napięcia przy ewentualnym transporcie aparatu do innego pomieszczenia.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76065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7C" w:rsidRPr="00076065" w:rsidRDefault="0013417C" w:rsidP="0013417C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Tak – 3 pkt.</w:t>
            </w:r>
          </w:p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Nie – 0 pkt.</w:t>
            </w:r>
          </w:p>
        </w:tc>
      </w:tr>
      <w:tr w:rsidR="0013417C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13417C" w:rsidRPr="00076065" w:rsidRDefault="0013417C" w:rsidP="0013417C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417C" w:rsidRPr="00076065" w:rsidRDefault="00D02A55" w:rsidP="0013417C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N</w:t>
            </w:r>
            <w:r w:rsidR="0013417C" w:rsidRPr="00076065">
              <w:rPr>
                <w:rFonts w:ascii="Garamond" w:hAnsi="Garamond"/>
              </w:rPr>
              <w:t>iski poziom głośności pracy aparatu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076065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7C" w:rsidRPr="00076065" w:rsidRDefault="0013417C" w:rsidP="0013417C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 xml:space="preserve">=&lt; 40 </w:t>
            </w:r>
            <w:proofErr w:type="spellStart"/>
            <w:r w:rsidRPr="00076065">
              <w:rPr>
                <w:rFonts w:ascii="Garamond" w:hAnsi="Garamond"/>
                <w:color w:val="000000" w:themeColor="text1"/>
              </w:rPr>
              <w:t>dB</w:t>
            </w:r>
            <w:proofErr w:type="spellEnd"/>
            <w:r w:rsidRPr="00076065">
              <w:rPr>
                <w:rFonts w:ascii="Garamond" w:hAnsi="Garamond"/>
                <w:color w:val="000000" w:themeColor="text1"/>
              </w:rPr>
              <w:t xml:space="preserve"> – 2 pkt.</w:t>
            </w:r>
          </w:p>
          <w:p w:rsidR="0013417C" w:rsidRPr="00076065" w:rsidRDefault="0013417C" w:rsidP="00076065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076065">
              <w:rPr>
                <w:rFonts w:ascii="Garamond" w:hAnsi="Garamond"/>
                <w:color w:val="000000" w:themeColor="text1"/>
              </w:rPr>
              <w:t>większe wartości – 0 pkt.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C04BF8" w:rsidRPr="00076065" w:rsidRDefault="00C04BF8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076065" w:rsidTr="00076065">
        <w:tc>
          <w:tcPr>
            <w:tcW w:w="14601" w:type="dxa"/>
            <w:vAlign w:val="center"/>
          </w:tcPr>
          <w:p w:rsidR="00227B9A" w:rsidRPr="00076065" w:rsidRDefault="00382F24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lang w:eastAsia="zh-CN" w:bidi="hi-IN"/>
              </w:rPr>
              <w:lastRenderedPageBreak/>
              <w:br w:type="page"/>
            </w:r>
            <w:bookmarkStart w:id="1" w:name="_GoBack"/>
            <w:bookmarkEnd w:id="1"/>
            <w:r w:rsidR="00227B9A"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WARUNKI GWARANCJI, SERWISU I SZKOLENIA DLA WSZYSTKICH OFEROWANYCH URZĄDZEŃ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076065" w:rsidTr="00076065">
        <w:tc>
          <w:tcPr>
            <w:tcW w:w="709" w:type="dxa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7B9A" w:rsidRPr="00076065" w:rsidRDefault="00227B9A" w:rsidP="0007606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076065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SPOSÓB OCENY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b/>
                <w:bCs/>
                <w:color w:val="00000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 xml:space="preserve">Okres pełnej, bez </w:t>
            </w:r>
            <w:proofErr w:type="spellStart"/>
            <w:r w:rsidRPr="00076065">
              <w:rPr>
                <w:rFonts w:ascii="Garamond" w:hAnsi="Garamond"/>
                <w:color w:val="000000"/>
              </w:rPr>
              <w:t>wyłączeń</w:t>
            </w:r>
            <w:proofErr w:type="spellEnd"/>
            <w:r w:rsidRPr="00076065">
              <w:rPr>
                <w:rFonts w:ascii="Garamond" w:hAnsi="Garamond"/>
                <w:color w:val="000000"/>
              </w:rPr>
              <w:t xml:space="preserve"> gwarancji dla wszystkich zaoferowanych elementów wraz z urządzeniami peryferyjnymi (jeśli dotyczy)[liczba miesięcy]</w:t>
            </w:r>
          </w:p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076065" w:rsidRDefault="00227B9A" w:rsidP="0007606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i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i/>
                <w:iCs/>
                <w:color w:val="00000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076065">
              <w:rPr>
                <w:rFonts w:ascii="Garamond" w:hAnsi="Garamond"/>
                <w:i/>
                <w:color w:val="00000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Najdłuższy okres –    10 pkt.;</w:t>
            </w:r>
          </w:p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Inne – proporcjonalnie mniej względem najdłuższego okresu.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iCs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b/>
                <w:bCs/>
                <w:color w:val="00000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W cenie oferty -  przeglądy okresowe w okresie gwarancji (w częstotliwości i w zakresie zgodnym z wymogami producenta)</w:t>
            </w:r>
          </w:p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Wszystkie czynności serwisowe, w tym ponowne podłączenie i uruchomienie sprzętu w miejscu wskaza</w:t>
            </w:r>
            <w:r w:rsidR="00382F24">
              <w:rPr>
                <w:rFonts w:ascii="Garamond" w:hAnsi="Garamond"/>
                <w:color w:val="000000"/>
              </w:rPr>
              <w:t xml:space="preserve">nym przez Zamawiającego oraz </w:t>
            </w:r>
            <w:r w:rsidRPr="00076065">
              <w:rPr>
                <w:rFonts w:ascii="Garamond" w:hAnsi="Garamond"/>
                <w:color w:val="000000"/>
              </w:rPr>
              <w:t>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076065">
              <w:rPr>
                <w:rFonts w:ascii="Garamond" w:hAnsi="Garamond"/>
                <w:sz w:val="22"/>
                <w:szCs w:val="22"/>
              </w:rPr>
              <w:t>48</w:t>
            </w: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>Wymiana każdego p</w:t>
            </w:r>
            <w:r w:rsidR="00382F24">
              <w:rPr>
                <w:rFonts w:ascii="Garamond" w:hAnsi="Garamond"/>
                <w:color w:val="000000"/>
                <w:sz w:val="22"/>
                <w:szCs w:val="22"/>
              </w:rPr>
              <w:t xml:space="preserve">odzespołu na nowy po pierwszej </w:t>
            </w: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>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 xml:space="preserve">Zakończenie działań serwisowych – do </w:t>
            </w:r>
            <w:r w:rsidRPr="00076065">
              <w:rPr>
                <w:rFonts w:ascii="Garamond" w:hAnsi="Garamond"/>
              </w:rPr>
              <w:t xml:space="preserve">5 </w:t>
            </w:r>
            <w:r w:rsidRPr="00076065">
              <w:rPr>
                <w:rFonts w:ascii="Garamond" w:hAnsi="Garamond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076065">
              <w:rPr>
                <w:rFonts w:ascii="Garamond" w:hAnsi="Garamond"/>
              </w:rPr>
              <w:t>10</w:t>
            </w:r>
            <w:r w:rsidRPr="00076065">
              <w:rPr>
                <w:rFonts w:ascii="Garamond" w:hAnsi="Garamond"/>
                <w:b/>
                <w:color w:val="FF0000"/>
              </w:rPr>
              <w:t xml:space="preserve"> </w:t>
            </w:r>
            <w:r w:rsidRPr="00076065">
              <w:rPr>
                <w:rFonts w:ascii="Garamond" w:hAnsi="Garamond"/>
                <w:color w:val="00000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1E7CFE" w:rsidP="00076065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76065">
              <w:rPr>
                <w:rFonts w:ascii="Garamond" w:hAnsi="Garamond"/>
                <w:color w:val="000000"/>
                <w:sz w:val="22"/>
                <w:szCs w:val="22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b/>
                <w:bCs/>
                <w:color w:val="00000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66741C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076065">
              <w:rPr>
                <w:rFonts w:ascii="Garamond" w:hAnsi="Garamond"/>
              </w:rPr>
              <w:t xml:space="preserve">Szkolenia dla personelu  medycznego z zakresu obsługi urządzenia (min. 4 osoby </w:t>
            </w:r>
            <w:r w:rsidRPr="00076065">
              <w:rPr>
                <w:rFonts w:ascii="Garamond" w:hAnsi="Garamond"/>
              </w:rPr>
              <w:lastRenderedPageBreak/>
              <w:t>z możliwością podziału i szkolenia w mniejszych podgrupach); w razie potrzeby Zamawiającego, możliwość stałego wsparcia aplikacyjnego w początkowym (do 6 –</w:t>
            </w:r>
            <w:proofErr w:type="spellStart"/>
            <w:r w:rsidRPr="00076065">
              <w:rPr>
                <w:rFonts w:ascii="Garamond" w:hAnsi="Garamond"/>
              </w:rPr>
              <w:t>ciu</w:t>
            </w:r>
            <w:proofErr w:type="spellEnd"/>
            <w:r w:rsidRPr="00076065">
              <w:rPr>
                <w:rFonts w:ascii="Garamond" w:hAnsi="Garamond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342E39" w:rsidP="0066741C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076065">
              <w:rPr>
                <w:rFonts w:ascii="Garamond" w:hAnsi="Garamond"/>
                <w:bCs/>
              </w:rPr>
              <w:t xml:space="preserve"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Liczba i okres szkoleń:</w:t>
            </w:r>
          </w:p>
          <w:p w:rsidR="00227B9A" w:rsidRPr="00076065" w:rsidRDefault="00227B9A" w:rsidP="00076065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076065">
              <w:rPr>
                <w:rFonts w:ascii="Garamond" w:hAnsi="Garamond"/>
                <w:color w:val="000000"/>
              </w:rPr>
              <w:t xml:space="preserve">pierwsze szkolenie - tuż po instalacji systemu, w wymiarze do 2 dni roboczych </w:t>
            </w:r>
          </w:p>
          <w:p w:rsidR="00227B9A" w:rsidRPr="00076065" w:rsidRDefault="00227B9A" w:rsidP="00076065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076065">
              <w:rPr>
                <w:rFonts w:ascii="Garamond" w:hAnsi="Garamond"/>
                <w:color w:val="000000"/>
              </w:rPr>
              <w:t>dodatkowe, w razie potrzeby, w innym terminie ustalonym z kierownikiem pracowni,</w:t>
            </w:r>
          </w:p>
          <w:p w:rsidR="00227B9A" w:rsidRPr="00076065" w:rsidRDefault="00227B9A" w:rsidP="0007606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i/>
                <w:color w:val="00000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b/>
                <w:bCs/>
                <w:color w:val="00000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227B9A" w:rsidRPr="00382F24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382F24">
              <w:rPr>
                <w:rFonts w:ascii="Garamond" w:hAnsi="Garamond"/>
                <w:i/>
                <w:color w:val="000000"/>
              </w:rPr>
              <w:lastRenderedPageBreak/>
              <w:t>UWAGA – dokumentacja musi zapewnić co najmniej pełną diagnostykę urządzenia, wykonywanie drobnych napraw, regulacji, kalibracji, oraz przeglądów okresowych w standardzie wymaganym przez producenta</w:t>
            </w:r>
            <w:r w:rsidR="00382F24" w:rsidRPr="00382F24">
              <w:rPr>
                <w:rFonts w:ascii="Garamond" w:hAnsi="Garamond"/>
                <w:i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076065" w:rsidTr="00076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076065" w:rsidRDefault="00227B9A" w:rsidP="00076065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076065" w:rsidRDefault="00227B9A" w:rsidP="00076065">
            <w:pPr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Możliwość mycia i dezynfekcji poszczególnych elementów aparatów w oparciu o przedstawione przez wykonawcę zalecane preparaty myjące i dezynfekujące.</w:t>
            </w:r>
          </w:p>
          <w:p w:rsidR="00227B9A" w:rsidRPr="00076065" w:rsidRDefault="00227B9A" w:rsidP="00076065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i/>
                <w:color w:val="00000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076065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076065" w:rsidRDefault="00227B9A" w:rsidP="0007606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076065">
              <w:rPr>
                <w:rFonts w:ascii="Garamond" w:hAnsi="Garamond"/>
                <w:color w:val="000000"/>
              </w:rPr>
              <w:t>- - -</w:t>
            </w:r>
          </w:p>
        </w:tc>
      </w:tr>
    </w:tbl>
    <w:p w:rsidR="00227B9A" w:rsidRPr="00076065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076065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076065" w:rsidRDefault="00227B9A">
      <w:pPr>
        <w:rPr>
          <w:rFonts w:ascii="Garamond" w:hAnsi="Garamond"/>
        </w:rPr>
      </w:pPr>
    </w:p>
    <w:sectPr w:rsidR="00227B9A" w:rsidRPr="00076065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3D" w:rsidRDefault="00A71D3D" w:rsidP="000854C5">
      <w:pPr>
        <w:spacing w:after="0" w:line="240" w:lineRule="auto"/>
      </w:pPr>
      <w:r>
        <w:separator/>
      </w:r>
    </w:p>
  </w:endnote>
  <w:endnote w:type="continuationSeparator" w:id="0">
    <w:p w:rsidR="00A71D3D" w:rsidRDefault="00A71D3D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:rsidR="00076065" w:rsidRDefault="000760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E22">
          <w:rPr>
            <w:noProof/>
          </w:rPr>
          <w:t>15</w:t>
        </w:r>
        <w:r>
          <w:fldChar w:fldCharType="end"/>
        </w:r>
      </w:p>
    </w:sdtContent>
  </w:sdt>
  <w:p w:rsidR="00076065" w:rsidRDefault="00076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3D" w:rsidRDefault="00A71D3D" w:rsidP="000854C5">
      <w:pPr>
        <w:spacing w:after="0" w:line="240" w:lineRule="auto"/>
      </w:pPr>
      <w:r>
        <w:separator/>
      </w:r>
    </w:p>
  </w:footnote>
  <w:footnote w:type="continuationSeparator" w:id="0">
    <w:p w:rsidR="00A71D3D" w:rsidRDefault="00A71D3D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65" w:rsidRPr="00076065" w:rsidRDefault="00076065" w:rsidP="00076065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 w:cs="Times New Roman"/>
        <w:lang w:eastAsia="pl-PL"/>
      </w:rPr>
    </w:pPr>
    <w:r w:rsidRPr="00076065">
      <w:rPr>
        <w:rFonts w:ascii="Garamond" w:eastAsia="Times New Roman" w:hAnsi="Garamond" w:cs="Times New Roman"/>
        <w:color w:val="000000"/>
        <w:lang w:eastAsia="pl-PL" w:bidi="hi-IN"/>
      </w:rPr>
      <w:t>DFP.271.</w:t>
    </w:r>
    <w:r>
      <w:rPr>
        <w:rFonts w:ascii="Garamond" w:eastAsia="Times New Roman" w:hAnsi="Garamond" w:cs="Times New Roman"/>
        <w:color w:val="000000"/>
        <w:lang w:eastAsia="pl-PL" w:bidi="hi-IN"/>
      </w:rPr>
      <w:t>41.2021</w:t>
    </w:r>
    <w:r w:rsidRPr="00076065">
      <w:rPr>
        <w:rFonts w:ascii="Garamond" w:eastAsia="Times New Roman" w:hAnsi="Garamond" w:cs="Times New Roman"/>
        <w:color w:val="000000"/>
        <w:lang w:eastAsia="pl-PL" w:bidi="hi-IN"/>
      </w:rPr>
      <w:t>.ADB</w:t>
    </w:r>
    <w:r w:rsidRPr="00076065">
      <w:rPr>
        <w:rFonts w:ascii="Garamond" w:eastAsia="Times New Roman" w:hAnsi="Garamond" w:cs="Times New Roman"/>
        <w:lang w:eastAsia="pl-PL"/>
      </w:rPr>
      <w:tab/>
    </w:r>
  </w:p>
  <w:p w:rsidR="00076065" w:rsidRPr="00076065" w:rsidRDefault="00076065" w:rsidP="00076065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Załącznik nr 1a do SWZ</w:t>
    </w:r>
  </w:p>
  <w:p w:rsidR="00076065" w:rsidRPr="00076065" w:rsidRDefault="00076065" w:rsidP="00076065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076065">
      <w:rPr>
        <w:rFonts w:ascii="Garamond" w:eastAsia="Times New Roman" w:hAnsi="Garamond" w:cs="Times New Roman"/>
        <w:lang w:eastAsia="pl-PL"/>
      </w:rPr>
      <w:tab/>
      <w:t>Załącznik nr …… do umowy</w:t>
    </w:r>
  </w:p>
  <w:p w:rsidR="00076065" w:rsidRPr="00E24207" w:rsidRDefault="00076065" w:rsidP="00E24207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b/>
        <w:kern w:val="2"/>
        <w:sz w:val="24"/>
        <w:szCs w:val="21"/>
        <w:lang w:eastAsia="hi-IN" w:bidi="hi-IN"/>
      </w:rPr>
    </w:pPr>
    <w:r w:rsidRPr="00076065">
      <w:rPr>
        <w:rFonts w:ascii="Garamond" w:eastAsia="Times New Roman" w:hAnsi="Garamond" w:cs="Times New Roman"/>
        <w:b/>
      </w:rPr>
      <w:t>Część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271"/>
    <w:multiLevelType w:val="hybridMultilevel"/>
    <w:tmpl w:val="35266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F538E"/>
    <w:multiLevelType w:val="hybridMultilevel"/>
    <w:tmpl w:val="6E7AB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3E2BA8"/>
    <w:multiLevelType w:val="hybridMultilevel"/>
    <w:tmpl w:val="2D928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64601"/>
    <w:rsid w:val="00076065"/>
    <w:rsid w:val="000854C5"/>
    <w:rsid w:val="00097E6F"/>
    <w:rsid w:val="000A3D96"/>
    <w:rsid w:val="000C0703"/>
    <w:rsid w:val="000D05B7"/>
    <w:rsid w:val="000F15DB"/>
    <w:rsid w:val="0013417C"/>
    <w:rsid w:val="001B5917"/>
    <w:rsid w:val="001E7CFE"/>
    <w:rsid w:val="002106FC"/>
    <w:rsid w:val="00227B9A"/>
    <w:rsid w:val="00240C7D"/>
    <w:rsid w:val="00342E39"/>
    <w:rsid w:val="003665FB"/>
    <w:rsid w:val="00382F24"/>
    <w:rsid w:val="004B617C"/>
    <w:rsid w:val="00561A8D"/>
    <w:rsid w:val="005A2967"/>
    <w:rsid w:val="005E622A"/>
    <w:rsid w:val="005F4424"/>
    <w:rsid w:val="0066741C"/>
    <w:rsid w:val="006E5948"/>
    <w:rsid w:val="006F491C"/>
    <w:rsid w:val="00710861"/>
    <w:rsid w:val="00783278"/>
    <w:rsid w:val="007C3040"/>
    <w:rsid w:val="00836819"/>
    <w:rsid w:val="008D5971"/>
    <w:rsid w:val="008E42C7"/>
    <w:rsid w:val="00A05168"/>
    <w:rsid w:val="00A12E22"/>
    <w:rsid w:val="00A71D3D"/>
    <w:rsid w:val="00AC51AF"/>
    <w:rsid w:val="00AF44B4"/>
    <w:rsid w:val="00BB15CF"/>
    <w:rsid w:val="00BB5499"/>
    <w:rsid w:val="00C01050"/>
    <w:rsid w:val="00C04BF8"/>
    <w:rsid w:val="00C32CA4"/>
    <w:rsid w:val="00C37754"/>
    <w:rsid w:val="00C4164A"/>
    <w:rsid w:val="00C41CE2"/>
    <w:rsid w:val="00C55875"/>
    <w:rsid w:val="00CD4A66"/>
    <w:rsid w:val="00CE4242"/>
    <w:rsid w:val="00CE53AA"/>
    <w:rsid w:val="00CF0A60"/>
    <w:rsid w:val="00D02A55"/>
    <w:rsid w:val="00D07DA4"/>
    <w:rsid w:val="00D60136"/>
    <w:rsid w:val="00E24207"/>
    <w:rsid w:val="00E26854"/>
    <w:rsid w:val="00E26E98"/>
    <w:rsid w:val="00E447F9"/>
    <w:rsid w:val="00E57EF8"/>
    <w:rsid w:val="00EC6D5C"/>
    <w:rsid w:val="00F031D4"/>
    <w:rsid w:val="00F35AD7"/>
    <w:rsid w:val="00F53C7C"/>
    <w:rsid w:val="00F70AE1"/>
    <w:rsid w:val="00F95FC1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4FADD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5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2226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Burszczan</cp:lastModifiedBy>
  <cp:revision>10</cp:revision>
  <cp:lastPrinted>2021-04-27T08:41:00Z</cp:lastPrinted>
  <dcterms:created xsi:type="dcterms:W3CDTF">2021-04-30T07:44:00Z</dcterms:created>
  <dcterms:modified xsi:type="dcterms:W3CDTF">2021-05-06T09:56:00Z</dcterms:modified>
</cp:coreProperties>
</file>