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2B" w:rsidRPr="00622629" w:rsidRDefault="00AA792B" w:rsidP="00AA792B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2629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033A7E" w:rsidRPr="00622629" w:rsidRDefault="00033A7E" w:rsidP="00AA792B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AA792B" w:rsidRPr="00622629" w:rsidRDefault="00122C80" w:rsidP="00122C80">
      <w:pPr>
        <w:tabs>
          <w:tab w:val="left" w:pos="1752"/>
          <w:tab w:val="center" w:pos="7002"/>
        </w:tabs>
        <w:suppressAutoHyphens/>
        <w:spacing w:after="0" w:line="240" w:lineRule="auto"/>
        <w:rPr>
          <w:rFonts w:ascii="Garamond" w:eastAsia="Times New Roman" w:hAnsi="Garamond"/>
          <w:b/>
          <w:color w:val="000000"/>
          <w:lang w:eastAsia="pl-PL"/>
        </w:rPr>
      </w:pPr>
      <w:r w:rsidRPr="00622629">
        <w:rPr>
          <w:rFonts w:ascii="Garamond" w:eastAsia="Times New Roman" w:hAnsi="Garamond"/>
          <w:b/>
          <w:lang w:eastAsia="ar-SA"/>
        </w:rPr>
        <w:tab/>
      </w:r>
      <w:r w:rsidRPr="00622629">
        <w:rPr>
          <w:rFonts w:ascii="Garamond" w:eastAsia="Times New Roman" w:hAnsi="Garamond"/>
          <w:b/>
          <w:lang w:eastAsia="ar-SA"/>
        </w:rPr>
        <w:tab/>
        <w:t>Część 1</w:t>
      </w:r>
      <w:r w:rsidRPr="00622629">
        <w:rPr>
          <w:rFonts w:ascii="Garamond" w:eastAsia="Times New Roman" w:hAnsi="Garamond"/>
          <w:b/>
          <w:color w:val="000000"/>
          <w:lang w:eastAsia="pl-PL"/>
        </w:rPr>
        <w:t xml:space="preserve"> - </w:t>
      </w:r>
      <w:proofErr w:type="spellStart"/>
      <w:r w:rsidRPr="00622629">
        <w:rPr>
          <w:rFonts w:ascii="Garamond" w:eastAsia="Times New Roman" w:hAnsi="Garamond"/>
          <w:b/>
          <w:lang w:eastAsia="ar-SA"/>
        </w:rPr>
        <w:t>cytometr</w:t>
      </w:r>
      <w:proofErr w:type="spellEnd"/>
      <w:r w:rsidRPr="00622629">
        <w:rPr>
          <w:rFonts w:ascii="Garamond" w:eastAsia="Times New Roman" w:hAnsi="Garamond"/>
          <w:b/>
          <w:lang w:eastAsia="ar-SA"/>
        </w:rPr>
        <w:t xml:space="preserve"> przepływowy (1 sztuka)</w:t>
      </w: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Uwagi i objaśnienia:</w:t>
      </w:r>
    </w:p>
    <w:p w:rsidR="00AA792B" w:rsidRPr="00622629" w:rsidRDefault="00AA792B" w:rsidP="00AA792B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AA792B" w:rsidRPr="00622629" w:rsidRDefault="00AA792B" w:rsidP="00AA792B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622629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AA792B" w:rsidRPr="00622629" w:rsidRDefault="00AA792B" w:rsidP="00AA792B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AA792B" w:rsidRPr="00622629" w:rsidRDefault="00AA792B" w:rsidP="00AA792B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622629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622629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22629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AA792B" w:rsidRPr="00622629" w:rsidRDefault="00AA792B" w:rsidP="00AA792B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37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5606"/>
        <w:gridCol w:w="3602"/>
      </w:tblGrid>
      <w:tr w:rsidR="00AE2C6E" w:rsidRPr="00622629" w:rsidTr="001D2B4D">
        <w:trPr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AE2C6E" w:rsidRPr="00622629" w:rsidRDefault="00AE2C6E" w:rsidP="00AE2C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AE2C6E" w:rsidRPr="00622629" w:rsidTr="001D2B4D">
        <w:trPr>
          <w:trHeight w:val="70"/>
          <w:jc w:val="center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AE2C6E" w:rsidRPr="00622629" w:rsidTr="001D2B4D">
        <w:trPr>
          <w:trHeight w:val="527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6E" w:rsidRPr="00622629" w:rsidRDefault="00AE2C6E" w:rsidP="00AE2C6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622629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6E" w:rsidRPr="00622629" w:rsidRDefault="00AE2C6E" w:rsidP="00AE2C6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proofErr w:type="spellStart"/>
            <w:r w:rsidRPr="00622629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Cytometr</w:t>
            </w:r>
            <w:proofErr w:type="spellEnd"/>
            <w:r w:rsidRPr="00622629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 xml:space="preserve"> przepływowy (1 sztuka)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AE2C6E" w:rsidRPr="00622629" w:rsidTr="001D2B4D">
        <w:trPr>
          <w:trHeight w:val="527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6E" w:rsidRPr="00622629" w:rsidRDefault="00AE2C6E" w:rsidP="00AE2C6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622629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6E" w:rsidRPr="00622629" w:rsidRDefault="001D2B4D" w:rsidP="001D2B4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622629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</w:t>
            </w:r>
            <w:r w:rsidR="00AE2C6E" w:rsidRPr="00622629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, uruchomienie i szkolenia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AE2C6E" w:rsidRPr="00622629" w:rsidTr="001D2B4D">
        <w:trPr>
          <w:trHeight w:val="527"/>
          <w:jc w:val="center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622629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2C6E" w:rsidRPr="00622629" w:rsidRDefault="00AE2C6E" w:rsidP="00AE2C6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122C80" w:rsidRPr="00622629" w:rsidRDefault="00122C80">
      <w:pPr>
        <w:rPr>
          <w:rFonts w:ascii="Garamond" w:eastAsia="Times New Roman" w:hAnsi="Garamond"/>
          <w:b/>
          <w:lang w:eastAsia="ar-SA"/>
        </w:rPr>
      </w:pPr>
      <w:r w:rsidRPr="00622629">
        <w:rPr>
          <w:rFonts w:ascii="Garamond" w:eastAsia="Times New Roman" w:hAnsi="Garamond"/>
          <w:b/>
          <w:lang w:eastAsia="ar-SA"/>
        </w:rPr>
        <w:br w:type="page"/>
      </w:r>
    </w:p>
    <w:p w:rsidR="00AA792B" w:rsidRPr="00622629" w:rsidRDefault="00AA792B" w:rsidP="00122C80">
      <w:pPr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622629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AA792B" w:rsidRPr="00622629" w:rsidRDefault="00AA792B" w:rsidP="00AA792B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"/>
        <w:gridCol w:w="507"/>
        <w:gridCol w:w="6943"/>
        <w:gridCol w:w="2410"/>
        <w:gridCol w:w="2410"/>
        <w:gridCol w:w="2264"/>
      </w:tblGrid>
      <w:tr w:rsidR="00AA792B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122C8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92B" w:rsidRPr="00622629" w:rsidRDefault="00AA792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92B" w:rsidRPr="00622629" w:rsidRDefault="00AA792B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122C80" w:rsidRPr="00622629" w:rsidTr="00122C80">
        <w:trPr>
          <w:gridBefore w:val="1"/>
          <w:wBefore w:w="62" w:type="dxa"/>
          <w:trHeight w:val="72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kliniczny posiadający certyfikat zgodności oferowanego zestawu z dyrektywą 98/79/EC z dn. 27.10.1998 lub równoważne, dla urządzeń medycznych do diagnostyki in vitro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cyfrowy (sygnał przetwarzany na postać cyfrową natychmiast po wyjściu z elektroniki detektora) wyposażony w trzy lasery chłodzone powietrzem: 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Niebieski (488 </w:t>
            </w:r>
            <w:proofErr w:type="spellStart"/>
            <w:r w:rsidRPr="00622629">
              <w:rPr>
                <w:rFonts w:ascii="Garamond" w:hAnsi="Garamond"/>
              </w:rPr>
              <w:t>nm</w:t>
            </w:r>
            <w:proofErr w:type="spellEnd"/>
            <w:r w:rsidRPr="00622629">
              <w:rPr>
                <w:rFonts w:ascii="Garamond" w:hAnsi="Garamond"/>
              </w:rPr>
              <w:t xml:space="preserve">, 20 </w:t>
            </w:r>
            <w:proofErr w:type="spellStart"/>
            <w:r w:rsidRPr="00622629">
              <w:rPr>
                <w:rFonts w:ascii="Garamond" w:hAnsi="Garamond"/>
              </w:rPr>
              <w:t>mW</w:t>
            </w:r>
            <w:proofErr w:type="spellEnd"/>
            <w:r w:rsidRPr="00622629">
              <w:rPr>
                <w:rFonts w:ascii="Garamond" w:hAnsi="Garamond"/>
              </w:rPr>
              <w:t xml:space="preserve">), 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Czerwony (640 </w:t>
            </w:r>
            <w:proofErr w:type="spellStart"/>
            <w:r w:rsidRPr="00622629">
              <w:rPr>
                <w:rFonts w:ascii="Garamond" w:hAnsi="Garamond"/>
              </w:rPr>
              <w:t>nm</w:t>
            </w:r>
            <w:proofErr w:type="spellEnd"/>
            <w:r w:rsidRPr="00622629">
              <w:rPr>
                <w:rFonts w:ascii="Garamond" w:hAnsi="Garamond"/>
              </w:rPr>
              <w:t xml:space="preserve">, 40 </w:t>
            </w:r>
            <w:proofErr w:type="spellStart"/>
            <w:r w:rsidRPr="00622629">
              <w:rPr>
                <w:rFonts w:ascii="Garamond" w:hAnsi="Garamond"/>
              </w:rPr>
              <w:t>mW</w:t>
            </w:r>
            <w:proofErr w:type="spellEnd"/>
            <w:r w:rsidRPr="00622629">
              <w:rPr>
                <w:rFonts w:ascii="Garamond" w:hAnsi="Garamond"/>
              </w:rPr>
              <w:t xml:space="preserve">) 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Fioletowy (405 </w:t>
            </w:r>
            <w:proofErr w:type="spellStart"/>
            <w:r w:rsidRPr="00622629">
              <w:rPr>
                <w:rFonts w:ascii="Garamond" w:hAnsi="Garamond"/>
              </w:rPr>
              <w:t>nm</w:t>
            </w:r>
            <w:proofErr w:type="spellEnd"/>
            <w:r w:rsidRPr="00622629">
              <w:rPr>
                <w:rFonts w:ascii="Garamond" w:hAnsi="Garamond"/>
              </w:rPr>
              <w:t xml:space="preserve">, 40 </w:t>
            </w:r>
            <w:proofErr w:type="spellStart"/>
            <w:r w:rsidRPr="00622629">
              <w:rPr>
                <w:rFonts w:ascii="Garamond" w:hAnsi="Garamond"/>
              </w:rPr>
              <w:t>mW</w:t>
            </w:r>
            <w:proofErr w:type="spellEnd"/>
            <w:r w:rsidRPr="00622629">
              <w:rPr>
                <w:rFonts w:ascii="Garamond" w:hAnsi="Garamond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Każdy laser ma zamontowany układ stabilizujący temperaturę i utrzymujący jej stałą wartość na poziomie 37 °C.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Każdy z laserów wyposażony jest w precyzyjny silnik krokowy, sterowany przez oprogramowanie, pozwalający na automatyczne dostrajanie laserów, jeśli jest to konieczne, podczas kontroli jakości wykonywanej na kulkach kalibracyjnych.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mierzy jednocześnie na jednej komórce: 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10 fluorescencji z trzech laserów (4 z lasera niebieskiego, 3 z lasera czerwonego, 3 z lasera fioletowego), 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FSC, SSC.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ind w:left="33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Konstrukcja układu optycznego: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pomiar jednoczesny fluorescencji w kolejności od fali najdłuższej do najkrótszej,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kuweta przepływowa połączona z obiektywem zbierającym fluorescencje i SSC za pomocą żelu optycznego, dopasowującego współczynnik załamania światła, Apertura cyfrowa 1,2.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optyka rozdzielająca sygnały fluorescencji oparta na filtrach odbijających,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lastRenderedPageBreak/>
              <w:t>•</w:t>
            </w:r>
            <w:r w:rsidRPr="00622629">
              <w:rPr>
                <w:rFonts w:ascii="Garamond" w:hAnsi="Garamond"/>
              </w:rPr>
              <w:tab/>
              <w:t xml:space="preserve">prowadzenie sygnałów fluorescencji z każdego lasera światłowodami do zestawów detektorów dedykowanych poszczególnym laserom,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zintegrowane filtry optyczne z układem elektronicznym, pozwalającym na automatyczne rozpoznanie konfiguracji optyki przez urządzenie,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Czułość systemu optyki w jednostkach MESF: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FITC: &lt;85 MESF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PE: &lt;20 MESF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Oprogramowanie </w:t>
            </w:r>
            <w:proofErr w:type="spellStart"/>
            <w:r w:rsidRPr="00622629">
              <w:rPr>
                <w:rFonts w:ascii="Garamond" w:hAnsi="Garamond"/>
              </w:rPr>
              <w:t>cytometru</w:t>
            </w:r>
            <w:proofErr w:type="spellEnd"/>
            <w:r w:rsidRPr="00622629">
              <w:rPr>
                <w:rFonts w:ascii="Garamond" w:hAnsi="Garamond"/>
              </w:rPr>
              <w:t xml:space="preserve"> pozwala na ustawienie progu detekcji na każdym mierzonym parametrze z dowolnego lasera.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Próg detekcji można ustawić na więcej niż jednym parametrze jednocześnie (maksymalnie można wybrać wszystkie parametry). Progi detekcji z poszczególnych parametrów można łączyć operatorami logicznymi OR (lub) albo AND (i).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Możliwość jednoczesnego pomiaru trzech wielkości opisujących mierzony sygnał: pole powierzchni po krzywą sygnału, szerokość sygnału i jego wysokość. Można dowolnie wybrać, jaką wielkość (ci) chcemy mierzyć dla każdego parametru. Każdy parametr może mieć mierzony dowolny zestaw wielkości sygnału, w szczególności wszystkie wielkości sygnału dla wszystkich parametrów.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wyposażony jest w zintegrowany podajnik próbek z płytek </w:t>
            </w:r>
            <w:proofErr w:type="spellStart"/>
            <w:r w:rsidRPr="00622629">
              <w:rPr>
                <w:rFonts w:ascii="Garamond" w:hAnsi="Garamond"/>
              </w:rPr>
              <w:t>wielodołkowych</w:t>
            </w:r>
            <w:proofErr w:type="spellEnd"/>
            <w:r w:rsidRPr="00622629">
              <w:rPr>
                <w:rFonts w:ascii="Garamond" w:hAnsi="Garamond"/>
              </w:rPr>
              <w:t xml:space="preserve"> i probówek o cechach: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Podawanie 30 probówek oznaczonych kodem paskowym lub 40 probówek bez kodów.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Podawanie 96 probówek w postaci macierzy probówek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Podawanie próbek z płytek 96 dołkowych o dowolnym kształcie dna, o standardowej wysokości oraz z płytek głębokich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Podawanie probówek z płytek 384 dołkowych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Wbudowany </w:t>
            </w:r>
            <w:proofErr w:type="spellStart"/>
            <w:r w:rsidRPr="00622629">
              <w:rPr>
                <w:rFonts w:ascii="Garamond" w:hAnsi="Garamond"/>
              </w:rPr>
              <w:t>worteks</w:t>
            </w:r>
            <w:proofErr w:type="spellEnd"/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Skanery kodów paskowych czytające kody na wszystkich probówkach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Skaner kodów czytający kod płytki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Kamera porównująca na żywo obraz rozmieszczenia próbek w </w:t>
            </w:r>
            <w:r w:rsidRPr="00622629">
              <w:rPr>
                <w:rFonts w:ascii="Garamond" w:hAnsi="Garamond"/>
              </w:rPr>
              <w:lastRenderedPageBreak/>
              <w:t>statywie z zaprojektowanym eksperymentem w komputerze.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Płukanie sondy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Możliwość ręcznego pobierania materiału z probówek 6 ml, 15 ml, 50 ml oraz z mikroprobówek 1,5 ml i 0,5 ml.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Oprogramowanie </w:t>
            </w:r>
            <w:proofErr w:type="spellStart"/>
            <w:r w:rsidRPr="00622629">
              <w:rPr>
                <w:rFonts w:ascii="Garamond" w:hAnsi="Garamond"/>
              </w:rPr>
              <w:t>cytometru</w:t>
            </w:r>
            <w:proofErr w:type="spellEnd"/>
            <w:r w:rsidRPr="00622629">
              <w:rPr>
                <w:rFonts w:ascii="Garamond" w:hAnsi="Garamond"/>
              </w:rPr>
              <w:t xml:space="preserve"> pozwala na automatyczną charakteryzację pracy parametrów </w:t>
            </w:r>
            <w:proofErr w:type="spellStart"/>
            <w:r w:rsidRPr="00622629">
              <w:rPr>
                <w:rFonts w:ascii="Garamond" w:hAnsi="Garamond"/>
              </w:rPr>
              <w:t>cytometru</w:t>
            </w:r>
            <w:proofErr w:type="spellEnd"/>
            <w:r w:rsidRPr="00622629">
              <w:rPr>
                <w:rFonts w:ascii="Garamond" w:hAnsi="Garamond"/>
              </w:rPr>
              <w:t xml:space="preserve">, szumów, tła, minimalnej czułości, minimalnych napięć pracy dla fotopowielaczy, regulowania czasu opóźnienia laserów, tworzenia raportów statystyki </w:t>
            </w:r>
            <w:proofErr w:type="spellStart"/>
            <w:r w:rsidRPr="00622629">
              <w:rPr>
                <w:rFonts w:ascii="Garamond" w:hAnsi="Garamond"/>
              </w:rPr>
              <w:t>Levy-Jennings</w:t>
            </w:r>
            <w:proofErr w:type="spellEnd"/>
            <w:r w:rsidRPr="00622629">
              <w:rPr>
                <w:rFonts w:ascii="Garamond" w:hAnsi="Garamond"/>
              </w:rPr>
              <w:t xml:space="preserve">. Oprócz kontroli tych ustawień bazowych, moduł umożliwia automatyczną codzienną kontrolę jakości pracy </w:t>
            </w:r>
            <w:proofErr w:type="spellStart"/>
            <w:r w:rsidRPr="00622629">
              <w:rPr>
                <w:rFonts w:ascii="Garamond" w:hAnsi="Garamond"/>
              </w:rPr>
              <w:t>cytometru</w:t>
            </w:r>
            <w:proofErr w:type="spellEnd"/>
            <w:r w:rsidRPr="00622629">
              <w:rPr>
                <w:rFonts w:ascii="Garamond" w:hAnsi="Garamond"/>
              </w:rPr>
              <w:t xml:space="preserve"> oraz automatyczną optymalizację ustawienia laserów, jeśli potrzeba (automatyczne dostrajanie).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posiada oprogramowanie o dodatkowych cechach: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Multitasking - możliwość pracy na kilku eksperymentach jednocześnie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Prekonfigurowany tok pracy dla oznaczeń ze statusem IVD – w pełni automatyczne wykonywanie </w:t>
            </w:r>
            <w:proofErr w:type="spellStart"/>
            <w:r w:rsidRPr="00622629">
              <w:rPr>
                <w:rFonts w:ascii="Garamond" w:hAnsi="Garamond"/>
              </w:rPr>
              <w:t>fenotypowania</w:t>
            </w:r>
            <w:proofErr w:type="spellEnd"/>
            <w:r w:rsidRPr="00622629">
              <w:rPr>
                <w:rFonts w:ascii="Garamond" w:hAnsi="Garamond"/>
              </w:rPr>
              <w:t xml:space="preserve"> limfocytów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Wszystkie informacje, zawierające ustawienia aparatu, eksperymenty, oznaczenia oraz dane dla probówek przechowywane są w zintegrowanej bazie danych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Tworzenie wzorów oznaczeń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Eksport statystyk. 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Prezentacji danych na różnych wykresach z możliwością nakładania histogramów i wykresów kropkowych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Jedno-probówkowa kontrola jakości z kulkami kalibracyjnymi</w:t>
            </w:r>
          </w:p>
          <w:p w:rsidR="00122C80" w:rsidRPr="00622629" w:rsidRDefault="00122C80" w:rsidP="00E87668">
            <w:pPr>
              <w:spacing w:after="0"/>
              <w:ind w:left="742" w:hanging="425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Raport laboratoryjny, lekarski i dodatkowy (.pdf).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Program </w:t>
            </w:r>
            <w:proofErr w:type="spellStart"/>
            <w:r w:rsidRPr="00622629">
              <w:rPr>
                <w:rFonts w:ascii="Garamond" w:hAnsi="Garamond"/>
              </w:rPr>
              <w:t>cytometryczny</w:t>
            </w:r>
            <w:proofErr w:type="spellEnd"/>
            <w:r w:rsidRPr="00622629">
              <w:rPr>
                <w:rFonts w:ascii="Garamond" w:hAnsi="Garamond"/>
              </w:rPr>
              <w:t xml:space="preserve"> dodatkowo wspiera zgodność z zaleceniami </w:t>
            </w:r>
            <w:proofErr w:type="spellStart"/>
            <w:r w:rsidRPr="00622629">
              <w:rPr>
                <w:rFonts w:ascii="Garamond" w:hAnsi="Garamond"/>
              </w:rPr>
              <w:t>FDA’s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Electronic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Records</w:t>
            </w:r>
            <w:proofErr w:type="spellEnd"/>
            <w:r w:rsidRPr="00622629">
              <w:rPr>
                <w:rFonts w:ascii="Garamond" w:hAnsi="Garamond"/>
              </w:rPr>
              <w:t xml:space="preserve"> and </w:t>
            </w:r>
            <w:proofErr w:type="spellStart"/>
            <w:r w:rsidRPr="00622629">
              <w:rPr>
                <w:rFonts w:ascii="Garamond" w:hAnsi="Garamond"/>
              </w:rPr>
              <w:t>Electronic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Signatures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Rule</w:t>
            </w:r>
            <w:proofErr w:type="spellEnd"/>
            <w:r w:rsidRPr="00622629">
              <w:rPr>
                <w:rFonts w:ascii="Garamond" w:hAnsi="Garamond"/>
              </w:rPr>
              <w:t xml:space="preserve"> (21 CFR Part 11) celem zapewnienia bezpieczeństwa danych i ich integralności poprzez elektroniczny podpis i elektroniczny szyfrowany zapis z unikalną identyfikacją użytkownika: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Kontrolę dostępu użytkowników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Audit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Trails</w:t>
            </w:r>
            <w:proofErr w:type="spellEnd"/>
            <w:r w:rsidRPr="00622629">
              <w:rPr>
                <w:rFonts w:ascii="Garamond" w:hAnsi="Garamond"/>
              </w:rPr>
              <w:t xml:space="preserve"> (Ślady </w:t>
            </w:r>
            <w:proofErr w:type="spellStart"/>
            <w:r w:rsidRPr="00622629">
              <w:rPr>
                <w:rFonts w:ascii="Garamond" w:hAnsi="Garamond"/>
              </w:rPr>
              <w:t>audytowe</w:t>
            </w:r>
            <w:proofErr w:type="spellEnd"/>
            <w:r w:rsidRPr="00622629">
              <w:rPr>
                <w:rFonts w:ascii="Garamond" w:hAnsi="Garamond"/>
              </w:rPr>
              <w:t>)`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Podpisy elektroniczne</w:t>
            </w:r>
          </w:p>
          <w:p w:rsidR="00122C80" w:rsidRPr="00622629" w:rsidRDefault="00122C80" w:rsidP="00E8766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lastRenderedPageBreak/>
              <w:t>Szyfrowanie danych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Zachowanie kompensacji podczas zbierania danych niezależne od wielkości napięcia na detektorach – przy zmianie napięć podczas zbierania próbki kompensacja jest automatycznie przeliczana dla zachowania prawidłowych ustawień pomiarowych.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proofErr w:type="spellStart"/>
            <w:r w:rsidRPr="00622629">
              <w:rPr>
                <w:rFonts w:ascii="Garamond" w:hAnsi="Garamond"/>
              </w:rPr>
              <w:t>Cytometrem</w:t>
            </w:r>
            <w:proofErr w:type="spellEnd"/>
            <w:r w:rsidRPr="00622629">
              <w:rPr>
                <w:rFonts w:ascii="Garamond" w:hAnsi="Garamond"/>
              </w:rPr>
              <w:t xml:space="preserve"> steruje stacja komputerowa o konfiguracji co najmniej: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Procesor Intel (lub równoważny) 3.4 </w:t>
            </w:r>
            <w:proofErr w:type="spellStart"/>
            <w:r w:rsidRPr="00622629">
              <w:rPr>
                <w:rFonts w:ascii="Garamond" w:hAnsi="Garamond"/>
              </w:rPr>
              <w:t>GHz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RAM 8 GB 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Grafika AMD </w:t>
            </w:r>
            <w:proofErr w:type="spellStart"/>
            <w:r w:rsidRPr="00622629">
              <w:rPr>
                <w:rFonts w:ascii="Garamond" w:hAnsi="Garamond"/>
              </w:rPr>
              <w:t>FirePro</w:t>
            </w:r>
            <w:proofErr w:type="spellEnd"/>
            <w:r w:rsidRPr="00622629">
              <w:rPr>
                <w:rFonts w:ascii="Garamond" w:hAnsi="Garamond"/>
              </w:rPr>
              <w:t xml:space="preserve"> V3900 1GB lub równoważna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2 dyski twarde HP 500 GB SATA 7200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2 karty sieciowe 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nagrywarka  DVD-RW </w:t>
            </w:r>
            <w:proofErr w:type="spellStart"/>
            <w:r w:rsidRPr="00622629">
              <w:rPr>
                <w:rFonts w:ascii="Garamond" w:hAnsi="Garamond"/>
              </w:rPr>
              <w:t>SuperMulti</w:t>
            </w:r>
            <w:proofErr w:type="spellEnd"/>
            <w:r w:rsidRPr="00622629">
              <w:rPr>
                <w:rFonts w:ascii="Garamond" w:hAnsi="Garamond"/>
              </w:rPr>
              <w:t xml:space="preserve"> SATA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mysz optyczna,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>klawiatura USB</w:t>
            </w:r>
          </w:p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monitor LCD  29” </w:t>
            </w:r>
          </w:p>
          <w:p w:rsidR="00CD2D41" w:rsidRPr="00622629" w:rsidRDefault="00122C80" w:rsidP="00CD2D41">
            <w:pPr>
              <w:spacing w:after="0"/>
              <w:ind w:left="771" w:hanging="771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  <w:t xml:space="preserve">kolorowa drukarka laserowa klasy HP </w:t>
            </w:r>
            <w:proofErr w:type="spellStart"/>
            <w:r w:rsidRPr="00622629">
              <w:rPr>
                <w:rFonts w:ascii="Garamond" w:hAnsi="Garamond"/>
              </w:rPr>
              <w:t>Laserjet</w:t>
            </w:r>
            <w:proofErr w:type="spellEnd"/>
            <w:r w:rsidRPr="00622629">
              <w:rPr>
                <w:rFonts w:ascii="Garamond" w:hAnsi="Garamond"/>
              </w:rPr>
              <w:t xml:space="preserve"> </w:t>
            </w:r>
            <w:proofErr w:type="spellStart"/>
            <w:r w:rsidRPr="00622629">
              <w:rPr>
                <w:rFonts w:ascii="Garamond" w:hAnsi="Garamond"/>
              </w:rPr>
              <w:t>Color</w:t>
            </w:r>
            <w:proofErr w:type="spellEnd"/>
            <w:r w:rsidRPr="00622629">
              <w:rPr>
                <w:rFonts w:ascii="Garamond" w:hAnsi="Garamond"/>
              </w:rPr>
              <w:t xml:space="preserve"> M25 lub równoważna</w:t>
            </w:r>
          </w:p>
          <w:p w:rsidR="00122C80" w:rsidRPr="00622629" w:rsidRDefault="00CD2D41" w:rsidP="00CD2D41">
            <w:pPr>
              <w:spacing w:after="0"/>
              <w:ind w:left="771" w:hanging="771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•</w:t>
            </w:r>
            <w:r w:rsidRPr="00622629">
              <w:rPr>
                <w:rFonts w:ascii="Garamond" w:hAnsi="Garamond"/>
              </w:rPr>
              <w:tab/>
            </w:r>
            <w:r w:rsidR="00122C80" w:rsidRPr="00622629">
              <w:rPr>
                <w:rFonts w:ascii="Garamond" w:hAnsi="Garamond"/>
              </w:rPr>
              <w:t>System operacyjny co najmniej Windows 7 Pro 64 bit lub równoważny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Wraz z </w:t>
            </w:r>
            <w:proofErr w:type="spellStart"/>
            <w:r w:rsidRPr="00622629">
              <w:rPr>
                <w:rFonts w:ascii="Garamond" w:hAnsi="Garamond"/>
              </w:rPr>
              <w:t>cytometrem</w:t>
            </w:r>
            <w:proofErr w:type="spellEnd"/>
            <w:r w:rsidRPr="00622629">
              <w:rPr>
                <w:rFonts w:ascii="Garamond" w:hAnsi="Garamond"/>
              </w:rPr>
              <w:t xml:space="preserve"> dostarczany jest pakiet odczynników startowych do instalacji </w:t>
            </w:r>
            <w:proofErr w:type="spellStart"/>
            <w:r w:rsidRPr="00622629">
              <w:rPr>
                <w:rFonts w:ascii="Garamond" w:hAnsi="Garamond"/>
              </w:rPr>
              <w:t>cytometru</w:t>
            </w:r>
            <w:proofErr w:type="spellEnd"/>
            <w:r w:rsidRPr="00622629">
              <w:rPr>
                <w:rFonts w:ascii="Garamond" w:hAnsi="Garamond"/>
              </w:rPr>
              <w:t xml:space="preserve"> i szkolenia operatorskiego.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Możliwość rozbudowy  do pomiaru jednocześnie 12 fluorescencji na jednej komórce.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TAK – 5 pkt</w:t>
            </w:r>
          </w:p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Nie - 0 pkt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Możliwość jednoczesnego obniżenia prędkości przepływu próbki przez wiązki laserowe oraz obniżenia prędkości przepływu buforu roboczego przez komorę przepływową, co pozwala na dłuższy czas pomiaru (tryb podwyższonej czułości).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Tak - 10 pkt</w:t>
            </w:r>
          </w:p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Nie - 0 pkt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Możliwość ręcznego podawania probówek z całkowitym ominięciem podajnika.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TAK - 10 pkt</w:t>
            </w:r>
          </w:p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NIE - 0 pkt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Układ przepływowy posiada temperaturowe sprzężenie zwrotne stabilizujące przepływ pomimo zmian temperatury otoczenia.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Tak – 10 pkt</w:t>
            </w:r>
          </w:p>
          <w:p w:rsidR="00122C80" w:rsidRPr="00622629" w:rsidRDefault="00122C80" w:rsidP="00E87668">
            <w:pPr>
              <w:spacing w:after="0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Nie - 0 pkt</w:t>
            </w:r>
          </w:p>
        </w:tc>
      </w:tr>
      <w:tr w:rsidR="00122C80" w:rsidRPr="00622629" w:rsidTr="00122C80">
        <w:trPr>
          <w:gridBefore w:val="1"/>
          <w:wBefore w:w="62" w:type="dxa"/>
          <w:trHeight w:val="36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pacing w:after="0"/>
              <w:ind w:left="33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 xml:space="preserve">Brak konieczności codziennego i każdorazowego ustawiania parametrów pracy dla eksperymentów – </w:t>
            </w:r>
            <w:proofErr w:type="spellStart"/>
            <w:r w:rsidRPr="00622629">
              <w:rPr>
                <w:rFonts w:ascii="Garamond" w:hAnsi="Garamond"/>
              </w:rPr>
              <w:t>cytometr</w:t>
            </w:r>
            <w:proofErr w:type="spellEnd"/>
            <w:r w:rsidRPr="00622629">
              <w:rPr>
                <w:rFonts w:ascii="Garamond" w:hAnsi="Garamond"/>
              </w:rPr>
              <w:t xml:space="preserve"> posiada ustawienia uniwersalne wykonywane raz na 60 dni.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80" w:rsidRPr="00622629" w:rsidRDefault="00122C80" w:rsidP="00E87668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Tak – 20 pkt</w:t>
            </w:r>
          </w:p>
          <w:p w:rsidR="00122C80" w:rsidRPr="00622629" w:rsidRDefault="00122C80" w:rsidP="00E87668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622629">
              <w:rPr>
                <w:rFonts w:ascii="Garamond" w:hAnsi="Garamond"/>
              </w:rPr>
              <w:t>Nie – 0 pkt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1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CD2D41" w:rsidP="00E87668">
            <w:pPr>
              <w:suppressAutoHyphens/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lang w:eastAsia="ar-SA"/>
              </w:rPr>
              <w:t xml:space="preserve">Warunki energetyczne </w:t>
            </w:r>
            <w:r w:rsidR="00122C80" w:rsidRPr="00622629">
              <w:rPr>
                <w:rFonts w:ascii="Garamond" w:eastAsia="Times New Roman" w:hAnsi="Garamond"/>
                <w:b/>
                <w:lang w:eastAsia="ar-SA"/>
              </w:rPr>
              <w:t>urządzenia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C11317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E8766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E8766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E8766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E8766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E87668">
            <w:pPr>
              <w:suppressAutoHyphens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2C80" w:rsidRPr="00622629" w:rsidRDefault="00122C80" w:rsidP="00122C80">
            <w:pPr>
              <w:jc w:val="center"/>
              <w:rPr>
                <w:rFonts w:ascii="Garamond" w:hAnsi="Garamond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122C80" w:rsidRPr="00622629" w:rsidRDefault="00122C80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E87668" w:rsidRPr="00622629" w:rsidRDefault="00E87668" w:rsidP="00E87668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tbl>
      <w:tblPr>
        <w:tblpPr w:leftFromText="141" w:rightFromText="141" w:bottomFromText="200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</w:tblGrid>
      <w:tr w:rsidR="00AA792B" w:rsidRPr="00622629" w:rsidTr="00AA792B">
        <w:trPr>
          <w:trHeight w:val="1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2B" w:rsidRPr="00622629" w:rsidRDefault="00AA792B" w:rsidP="00E87668">
            <w:pPr>
              <w:suppressAutoHyphens/>
              <w:spacing w:after="0"/>
              <w:rPr>
                <w:rFonts w:ascii="Garamond" w:eastAsia="Times New Roman" w:hAnsi="Garamond"/>
                <w:b/>
                <w:lang w:eastAsia="ar-SA"/>
              </w:rPr>
            </w:pPr>
          </w:p>
        </w:tc>
      </w:tr>
    </w:tbl>
    <w:p w:rsidR="00AA792B" w:rsidRPr="00622629" w:rsidRDefault="00AA792B" w:rsidP="00122C80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622629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AA792B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122C80">
            <w:pPr>
              <w:suppressAutoHyphens/>
              <w:snapToGrid w:val="0"/>
              <w:spacing w:after="0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AA792B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122C8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&gt;=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92B" w:rsidRPr="00622629" w:rsidRDefault="00AA792B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2B" w:rsidRPr="00622629" w:rsidRDefault="00AA792B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12 miesiące – 0 pkt.</w:t>
            </w:r>
          </w:p>
          <w:p w:rsidR="00AA792B" w:rsidRPr="00622629" w:rsidRDefault="00AA792B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13 i więcej – 5 pkt.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 xml:space="preserve">Przyjazd serwisu po zgłoszeniu awarii w okresie gwarancji do 3 dni (dotyczy dni roboczych rozumianych jako </w:t>
            </w:r>
            <w:r w:rsidRPr="00622629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622629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622629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622629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622629">
              <w:rPr>
                <w:rFonts w:ascii="Garamond" w:eastAsia="Times New Roman" w:hAnsi="Garamond"/>
                <w:lang w:eastAsia="ar-SA"/>
              </w:rPr>
              <w:t>ustawowo wolnych od pracy, w godzinach od 8.00 do 15.00)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122C80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 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BF36C0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BF36C0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622629">
              <w:rPr>
                <w:rFonts w:ascii="Garamond" w:eastAsia="Times New Roman" w:hAnsi="Garamond"/>
                <w:lang w:eastAsia="ar-SA"/>
              </w:rPr>
              <w:t xml:space="preserve">naprawy </w:t>
            </w:r>
            <w:bookmarkStart w:id="0" w:name="_GoBack"/>
            <w:r w:rsidR="00BF36C0">
              <w:rPr>
                <w:rFonts w:ascii="Garamond" w:eastAsia="Times New Roman" w:hAnsi="Garamond"/>
                <w:lang w:eastAsia="ar-SA"/>
              </w:rPr>
              <w:t xml:space="preserve">odpowiednio </w:t>
            </w:r>
            <w:r w:rsidRPr="00622629">
              <w:rPr>
                <w:rFonts w:ascii="Garamond" w:eastAsia="Times New Roman" w:hAnsi="Garamond"/>
                <w:lang w:eastAsia="ar-SA"/>
              </w:rPr>
              <w:t xml:space="preserve">w ciągu </w:t>
            </w:r>
            <w:r w:rsidR="00BF36C0">
              <w:rPr>
                <w:rFonts w:ascii="Garamond" w:eastAsia="Times New Roman" w:hAnsi="Garamond"/>
                <w:lang w:eastAsia="ar-SA"/>
              </w:rPr>
              <w:t xml:space="preserve">7 lub </w:t>
            </w:r>
            <w:r w:rsidRPr="00622629">
              <w:rPr>
                <w:rFonts w:ascii="Garamond" w:eastAsia="Times New Roman" w:hAnsi="Garamond"/>
                <w:lang w:eastAsia="ar-SA"/>
              </w:rPr>
              <w:t>14 dni od zgłoszenia awarii</w:t>
            </w:r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CD2D41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122C80" w:rsidRPr="00622629" w:rsidTr="00122C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122C80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C80" w:rsidRPr="00622629" w:rsidRDefault="00122C80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C80" w:rsidRPr="00622629" w:rsidRDefault="00122C80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</w:tbl>
    <w:p w:rsidR="00E87668" w:rsidRPr="00622629" w:rsidRDefault="00E87668" w:rsidP="00CD2D41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</w:p>
    <w:p w:rsidR="00AA792B" w:rsidRPr="00622629" w:rsidRDefault="00AA792B" w:rsidP="00CD2D41">
      <w:pPr>
        <w:suppressAutoHyphens/>
        <w:spacing w:after="0"/>
        <w:rPr>
          <w:rFonts w:ascii="Garamond" w:eastAsia="Times New Roman" w:hAnsi="Garamond"/>
          <w:b/>
          <w:lang w:eastAsia="ar-SA"/>
        </w:rPr>
      </w:pPr>
      <w:r w:rsidRPr="00622629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AA792B" w:rsidRPr="00622629" w:rsidTr="00CD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CD2D41">
            <w:pPr>
              <w:suppressAutoHyphens/>
              <w:snapToGrid w:val="0"/>
              <w:spacing w:after="0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92B" w:rsidRPr="00622629" w:rsidRDefault="00AA792B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92B" w:rsidRPr="00622629" w:rsidRDefault="00AA792B" w:rsidP="00E87668">
            <w:pPr>
              <w:spacing w:after="0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622629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CD2D41" w:rsidRPr="00622629" w:rsidTr="00CD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CD2D41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41" w:rsidRPr="00622629" w:rsidRDefault="00CD2D41" w:rsidP="00CD2D41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Instrukcja obsługi w języku polskim w formie drukowanej i elektronicznej (</w:t>
            </w:r>
            <w:proofErr w:type="spellStart"/>
            <w:r w:rsidRPr="00622629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622629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CD2D41" w:rsidRPr="00622629" w:rsidTr="00CD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CD2D41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CD2D41" w:rsidRPr="00622629" w:rsidTr="00CD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CD2D41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CD2D41" w:rsidRPr="00622629" w:rsidTr="00CD2D4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CD2D41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CD2D41" w:rsidRPr="00622629" w:rsidTr="00CD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CD2D41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/>
              <w:rPr>
                <w:rFonts w:ascii="Garamond" w:hAnsi="Garamond"/>
                <w:bCs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D41" w:rsidRPr="00622629" w:rsidRDefault="00CD2D41" w:rsidP="00E87668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D2D41" w:rsidRPr="00622629" w:rsidRDefault="00CD2D41" w:rsidP="00E87668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622629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AA792B" w:rsidRPr="00622629" w:rsidTr="00CD2D41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792B" w:rsidRPr="00622629" w:rsidRDefault="00AA792B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AA792B" w:rsidRPr="00622629" w:rsidRDefault="00AA792B" w:rsidP="00E87668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sectPr w:rsidR="00AA792B" w:rsidRPr="00622629" w:rsidSect="00033A7E">
      <w:headerReference w:type="default" r:id="rId9"/>
      <w:footerReference w:type="default" r:id="rId10"/>
      <w:pgSz w:w="16838" w:h="11906" w:orient="landscape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80" w:rsidRDefault="00326580" w:rsidP="00E87668">
      <w:pPr>
        <w:spacing w:after="0" w:line="240" w:lineRule="auto"/>
      </w:pPr>
      <w:r>
        <w:separator/>
      </w:r>
    </w:p>
  </w:endnote>
  <w:endnote w:type="continuationSeparator" w:id="0">
    <w:p w:rsidR="00326580" w:rsidRDefault="00326580" w:rsidP="00E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726473"/>
      <w:docPartObj>
        <w:docPartGallery w:val="Page Numbers (Bottom of Page)"/>
        <w:docPartUnique/>
      </w:docPartObj>
    </w:sdtPr>
    <w:sdtEndPr/>
    <w:sdtContent>
      <w:p w:rsidR="00E87668" w:rsidRDefault="00E87668" w:rsidP="00E8766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6C0">
          <w:rPr>
            <w:noProof/>
          </w:rPr>
          <w:t>6</w:t>
        </w:r>
        <w:r>
          <w:fldChar w:fldCharType="end"/>
        </w:r>
        <w:r w:rsidRPr="00E87668">
          <w:rPr>
            <w:rFonts w:ascii="Garamond" w:hAnsi="Garamond"/>
            <w:lang w:eastAsia="pl-PL"/>
          </w:rPr>
          <w:t xml:space="preserve"> </w:t>
        </w:r>
        <w:r>
          <w:rPr>
            <w:rFonts w:ascii="Garamond" w:hAnsi="Garamond"/>
            <w:lang w:eastAsia="pl-PL"/>
          </w:rPr>
          <w:tab/>
        </w:r>
        <w:r>
          <w:rPr>
            <w:rFonts w:ascii="Garamond" w:hAnsi="Garamond"/>
            <w:lang w:eastAsia="pl-PL"/>
          </w:rPr>
          <w:tab/>
          <w:t xml:space="preserve">                                           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  <w:p w:rsidR="00E87668" w:rsidRDefault="00326580" w:rsidP="00E87668">
        <w:pPr>
          <w:pStyle w:val="Stopka"/>
        </w:pPr>
      </w:p>
    </w:sdtContent>
  </w:sdt>
  <w:p w:rsidR="00E87668" w:rsidRDefault="00E87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80" w:rsidRDefault="00326580" w:rsidP="00E87668">
      <w:pPr>
        <w:spacing w:after="0" w:line="240" w:lineRule="auto"/>
      </w:pPr>
      <w:r>
        <w:separator/>
      </w:r>
    </w:p>
  </w:footnote>
  <w:footnote w:type="continuationSeparator" w:id="0">
    <w:p w:rsidR="00326580" w:rsidRDefault="00326580" w:rsidP="00E8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B3" w:rsidRPr="000931ED" w:rsidRDefault="008D63B3" w:rsidP="008D63B3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E87668" w:rsidRDefault="00E87668" w:rsidP="00E87668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E87668" w:rsidRDefault="00122C80" w:rsidP="00E87668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……</w:t>
    </w:r>
    <w:r w:rsidR="00E87668">
      <w:rPr>
        <w:rFonts w:ascii="Garamond" w:eastAsia="Times New Roman" w:hAnsi="Garamond"/>
        <w:lang w:eastAsia="pl-PL"/>
      </w:rPr>
      <w:t xml:space="preserve"> do umowy</w:t>
    </w:r>
  </w:p>
  <w:p w:rsidR="00122C80" w:rsidRDefault="00122C80" w:rsidP="00122C80">
    <w:pPr>
      <w:pStyle w:val="Nagwek"/>
      <w:jc w:val="center"/>
    </w:pPr>
    <w:r>
      <w:rPr>
        <w:rFonts w:ascii="Garamond" w:eastAsia="Times New Roman" w:hAnsi="Garamond"/>
        <w:lang w:eastAsia="pl-PL"/>
      </w:rPr>
      <w:t>Część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DD358B"/>
    <w:multiLevelType w:val="hybridMultilevel"/>
    <w:tmpl w:val="C12C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880"/>
    <w:multiLevelType w:val="hybridMultilevel"/>
    <w:tmpl w:val="2BC8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0B29"/>
    <w:multiLevelType w:val="hybridMultilevel"/>
    <w:tmpl w:val="DF5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492A22EE"/>
    <w:multiLevelType w:val="hybridMultilevel"/>
    <w:tmpl w:val="25B86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450AF"/>
    <w:multiLevelType w:val="hybridMultilevel"/>
    <w:tmpl w:val="0FFEC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F1E23"/>
    <w:multiLevelType w:val="hybridMultilevel"/>
    <w:tmpl w:val="B54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2B"/>
    <w:rsid w:val="00033A7E"/>
    <w:rsid w:val="000B2FFC"/>
    <w:rsid w:val="000D51FC"/>
    <w:rsid w:val="00122C80"/>
    <w:rsid w:val="001B3DE5"/>
    <w:rsid w:val="001D2B4D"/>
    <w:rsid w:val="00260098"/>
    <w:rsid w:val="002C2AD5"/>
    <w:rsid w:val="00326580"/>
    <w:rsid w:val="003D7C64"/>
    <w:rsid w:val="00492027"/>
    <w:rsid w:val="00622629"/>
    <w:rsid w:val="008D63B3"/>
    <w:rsid w:val="00AA792B"/>
    <w:rsid w:val="00AE2C6E"/>
    <w:rsid w:val="00B27178"/>
    <w:rsid w:val="00BA0FDE"/>
    <w:rsid w:val="00BF36C0"/>
    <w:rsid w:val="00C11317"/>
    <w:rsid w:val="00C51D9F"/>
    <w:rsid w:val="00CD2D41"/>
    <w:rsid w:val="00D82D54"/>
    <w:rsid w:val="00E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2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92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792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A792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A792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A792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792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A792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A792B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A792B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A792B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AA792B"/>
    <w:pPr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AA792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AA792B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E8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6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E8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668"/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E87668"/>
    <w:pPr>
      <w:jc w:val="center"/>
      <w:textAlignment w:val="baseline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E8766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6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87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2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92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792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A792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A792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A792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792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A792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A792B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A792B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A792B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AA792B"/>
    <w:pPr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AA792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AA792B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E8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6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E8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668"/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E87668"/>
    <w:pPr>
      <w:jc w:val="center"/>
      <w:textAlignment w:val="baseline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E8766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6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87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BFF2-FF78-43EC-B32B-D1B209EA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2018-09-14T10:48:00Z</dcterms:created>
  <dcterms:modified xsi:type="dcterms:W3CDTF">2018-09-21T05:47:00Z</dcterms:modified>
</cp:coreProperties>
</file>