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5170C" w:rsidRPr="00B8498C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55170C" w:rsidRPr="0055170C" w:rsidRDefault="0055170C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55170C">
              <w:rPr>
                <w:sz w:val="24"/>
                <w:szCs w:val="24"/>
              </w:rPr>
              <w:t>OPIS PRZEDMIOTU ZAMÓWIENIA</w:t>
            </w:r>
          </w:p>
        </w:tc>
      </w:tr>
      <w:tr w:rsidR="0055170C" w:rsidRPr="00B8498C" w:rsidTr="0055170C">
        <w:trPr>
          <w:trHeight w:val="98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040850" w:rsidRPr="00040850" w:rsidRDefault="00040850" w:rsidP="0055170C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40850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8272B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040850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55170C" w:rsidRPr="00040850" w:rsidRDefault="0055170C" w:rsidP="0055170C">
            <w:pPr>
              <w:pStyle w:val="Standard"/>
              <w:spacing w:line="288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40850">
              <w:rPr>
                <w:rFonts w:ascii="Garamond" w:hAnsi="Garamond"/>
                <w:b/>
                <w:sz w:val="22"/>
                <w:szCs w:val="22"/>
              </w:rPr>
              <w:t>Część 2 Respirator do wentylacji nieinwazyjnej – 8 sztuk</w:t>
            </w:r>
          </w:p>
        </w:tc>
      </w:tr>
    </w:tbl>
    <w:p w:rsidR="0055170C" w:rsidRDefault="0055170C" w:rsidP="00C2049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A870ED" w:rsidRPr="00C2049E" w:rsidRDefault="00A870ED" w:rsidP="00C2049E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C2049E">
        <w:rPr>
          <w:rFonts w:ascii="Garamond" w:hAnsi="Garamond"/>
          <w:sz w:val="22"/>
          <w:szCs w:val="22"/>
        </w:rPr>
        <w:t>Uwagi i objaśnienia: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A870ED" w:rsidRPr="00EB7AAE" w:rsidRDefault="00EB7AAE" w:rsidP="00EB7AAE">
      <w:pPr>
        <w:pStyle w:val="Skrconyadreszwrotny"/>
        <w:numPr>
          <w:ilvl w:val="0"/>
          <w:numId w:val="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B7AAE" w:rsidRPr="00320EBB" w:rsidTr="00EB7AAE">
        <w:trPr>
          <w:trHeight w:val="652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548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42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54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B7AAE" w:rsidRPr="00320EBB" w:rsidTr="00EB7AAE">
        <w:trPr>
          <w:trHeight w:val="629"/>
        </w:trPr>
        <w:tc>
          <w:tcPr>
            <w:tcW w:w="3936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B7AAE" w:rsidRPr="00320EBB" w:rsidRDefault="00EB7AAE" w:rsidP="00EB7AA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55170C" w:rsidRPr="0055170C" w:rsidRDefault="00EB7AAE" w:rsidP="0055170C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5170C" w:rsidRPr="0055170C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5170C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55170C" w:rsidRPr="0055170C" w:rsidRDefault="00040850" w:rsidP="0055170C">
            <w:pPr>
              <w:ind w:left="924" w:hanging="518"/>
              <w:jc w:val="center"/>
              <w:rPr>
                <w:rFonts w:ascii="Garamond" w:eastAsia="Lucida Sans Unicode" w:hAnsi="Garamond" w:cs="Mangal"/>
                <w:b/>
                <w:kern w:val="3"/>
                <w:lang w:eastAsia="zh-CN" w:bidi="hi-IN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8272B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55170C" w:rsidRPr="0055170C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55170C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55170C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55170C" w:rsidRPr="0055170C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1D6D48">
              <w:rPr>
                <w:rFonts w:ascii="Garamond" w:hAnsi="Garamond" w:cs="Mangal"/>
                <w:lang w:eastAsia="zh-CN"/>
              </w:rPr>
              <w:t>Respirator do wentylacji nieinwazyjnej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55170C" w:rsidRPr="0055170C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55170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55170C" w:rsidRPr="0055170C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55170C" w:rsidRPr="0055170C" w:rsidTr="002E67E3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55170C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55170C" w:rsidRPr="0055170C" w:rsidTr="002E67E3">
        <w:tc>
          <w:tcPr>
            <w:tcW w:w="5321" w:type="dxa"/>
            <w:tcBorders>
              <w:lef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5170C" w:rsidRPr="001D6D48" w:rsidTr="001D6D48">
        <w:trPr>
          <w:trHeight w:val="530"/>
        </w:trPr>
        <w:tc>
          <w:tcPr>
            <w:tcW w:w="14220" w:type="dxa"/>
            <w:shd w:val="clear" w:color="auto" w:fill="F2F2F2" w:themeFill="background1" w:themeFillShade="F2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55170C" w:rsidRPr="001D6D48" w:rsidRDefault="0055170C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55170C" w:rsidRPr="001D6D48" w:rsidRDefault="0055170C" w:rsidP="0055170C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55170C" w:rsidRPr="0055170C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70C" w:rsidRPr="0055170C" w:rsidRDefault="0055170C" w:rsidP="002E67E3">
            <w:pPr>
              <w:rPr>
                <w:rFonts w:ascii="Garamond" w:hAnsi="Garamond"/>
                <w:sz w:val="22"/>
                <w:szCs w:val="22"/>
              </w:rPr>
            </w:pPr>
            <w:r w:rsidRPr="001D6D48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1D6D48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55170C" w:rsidRPr="0055170C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1D6D48" w:rsidRDefault="0055170C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1D6D48">
              <w:rPr>
                <w:rFonts w:ascii="Garamond" w:hAnsi="Garamond" w:cs="Mangal"/>
                <w:lang w:eastAsia="zh-CN"/>
              </w:rPr>
              <w:t>Respirator do wentylacji nieinwazyjnej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170C" w:rsidRPr="0055170C" w:rsidRDefault="0055170C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55170C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0C" w:rsidRPr="0055170C" w:rsidRDefault="0055170C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5170C" w:rsidRPr="0055170C" w:rsidRDefault="0055170C" w:rsidP="0055170C">
      <w:pPr>
        <w:rPr>
          <w:rFonts w:ascii="Garamond" w:hAnsi="Garamond"/>
        </w:rPr>
      </w:pPr>
    </w:p>
    <w:p w:rsidR="0055170C" w:rsidRPr="0055170C" w:rsidRDefault="0055170C" w:rsidP="0055170C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55170C" w:rsidRPr="0055170C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5170C" w:rsidRPr="0055170C" w:rsidRDefault="0055170C" w:rsidP="002E67E3">
            <w:pPr>
              <w:snapToGrid w:val="0"/>
              <w:rPr>
                <w:rFonts w:ascii="Garamond" w:hAnsi="Garamond"/>
                <w:bCs/>
              </w:rPr>
            </w:pPr>
            <w:r w:rsidRPr="0055170C">
              <w:rPr>
                <w:rFonts w:ascii="Garamond" w:hAnsi="Garamond"/>
                <w:b/>
                <w:bCs/>
              </w:rPr>
              <w:t>A+ B + C + D</w:t>
            </w:r>
            <w:r w:rsidRPr="0055170C">
              <w:rPr>
                <w:rFonts w:ascii="Garamond" w:hAnsi="Garamond"/>
                <w:bCs/>
              </w:rPr>
              <w:t xml:space="preserve">: Cena brutto oferty </w:t>
            </w:r>
            <w:r w:rsidRPr="0055170C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170C" w:rsidRPr="0055170C" w:rsidRDefault="0055170C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55170C" w:rsidRPr="00E6764C" w:rsidRDefault="0055170C" w:rsidP="0055170C">
      <w:pPr>
        <w:rPr>
          <w:b/>
        </w:rPr>
      </w:pPr>
    </w:p>
    <w:p w:rsidR="0055170C" w:rsidRPr="00E6764C" w:rsidRDefault="0055170C" w:rsidP="0055170C">
      <w:pPr>
        <w:pStyle w:val="Skrconyadreszwrotny"/>
        <w:rPr>
          <w:sz w:val="22"/>
          <w:szCs w:val="22"/>
        </w:rPr>
      </w:pPr>
    </w:p>
    <w:p w:rsidR="00A870ED" w:rsidRPr="00EB7AAE" w:rsidRDefault="00A870ED" w:rsidP="00EB7AAE">
      <w:pPr>
        <w:pStyle w:val="Podtytu"/>
        <w:rPr>
          <w:i w:val="0"/>
          <w:color w:val="auto"/>
        </w:rPr>
      </w:pPr>
      <w:r w:rsidRPr="00EB7AAE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INFORMACJE OGÓLNE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jc w:val="center"/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przeznaczony do wspomagania oddechu oraz terapii niewydolności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stosowania dla dorosłych oraz dzieci o wadze &gt;= 10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o funkcjach 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stacjonarno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transportowych wyposażony standardowo w podstawę jezdną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funkcja testowania sprawdzająca poprawność działania, podatność i szczelność układu oddechowego uruchamiająca się po włączeniu aparatu automatycznie lub włączana na żądanie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rodzaje testów sprawdzających działanie respiratora - opisać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podatności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zabezpieczenia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elektroniczny – 2 pkt., inne rozwiązania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regulacja stężenia tlenu w mieszaninie oddechowej w zakresie 21-100 [% O</w:t>
            </w:r>
            <w:r w:rsidRPr="00C2049E">
              <w:rPr>
                <w:rFonts w:ascii="Garamond" w:hAnsi="Garamond" w:cs="Calibri"/>
                <w:color w:val="000000"/>
                <w:sz w:val="22"/>
                <w:szCs w:val="22"/>
                <w:vertAlign w:val="subscript"/>
                <w:lang w:eastAsia="pl-PL"/>
              </w:rPr>
              <w:t xml:space="preserve">2 </w:t>
            </w: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TRYBY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kontrolowana i wspomagana kontrolowana wentylacja mechaniczna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programowana zastępcza wentylacja przy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na dwóch poziomach dodatniego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wentylacja na dwóch poziomach dodatniego ciśnienia z gwarantowaną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wentylacja nieinwazyjna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wszystkie oferowane tryby wentylacji dostępne także dla wentylacji </w:t>
            </w:r>
            <w:proofErr w:type="spellStart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niewinwazyjnej</w:t>
            </w:r>
            <w:proofErr w:type="spellEnd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pkt, nie – 0 pkt.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TYPY ODDECHÓW</w:t>
            </w:r>
            <w: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ze wspomaganiem oddechu spontanicznego ciśnieniem lub przepływem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westchnienie (manualne lub automatyczne)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oddechy spontaniczne pacjenta możliwe we wszystkich trybach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Tak - 5 pkt.,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wentylacja kontrolowana ciśnieniem z docelową objętością typu 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PRVC, APV, VC+ lub równoważna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WENTYLACJI WYMUSZONEJ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80 </w:t>
            </w:r>
            <w:proofErr w:type="spellStart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2 pkt., mniejsze wartości – 1 pkt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objętość oddechu [ml]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2000 i więcej – 2 pkt., mniejsze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maksymalny przepływ [l/min]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180 i więcej – 2 pkt., mniejsze wartości – 1 pkt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plateau [s]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programowania kształtu krzywej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rozpoznawania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OBRAZOWANIE PARAMETRÓW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aktualny tryb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wentylacji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 czas wydechu lub stosunek czasu wdechu do czasu trwania całego cyklu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wyżej nie opisane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MONITOR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wyposażony w monitor podać przekątną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&gt;= 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12 cali i więcej – 3 pkt.,</w:t>
            </w:r>
          </w:p>
          <w:p w:rsidR="00A870ED" w:rsidRPr="00C2049E" w:rsidRDefault="00A870ED" w:rsidP="00EB7AAE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dodatkowy monitor do nastawiania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3 pkt., nie – 0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przepływu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objętości oddechowej lub pętli: ciśnienie/objętość oraz przepływ/objętość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pętli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ilość zdarzeń możliwych do rejestracji w pamięci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200 i więcej – 2 pkt., mniejsze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trendy parametrów wentylacji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72 godz. i więcej – 3 pkt., mniejsze wartości – 1 pkt.</w:t>
            </w:r>
          </w:p>
        </w:tc>
      </w:tr>
      <w:tr w:rsidR="00EB7AAE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C2049E" w:rsidRDefault="00EB7AAE" w:rsidP="00EB7AAE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EB7AAE" w:rsidRPr="00C2049E" w:rsidRDefault="00EB7AAE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zasilania w energię elektryczną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 ciśnienie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minimalne i maksymalne stężenie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minimalna całkowita objętość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oddechów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bezdech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według hierarchii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pomiaru parametrów wentylacji (krótki opis czujnika pomiarowego)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opisać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dalszej rozbudowy funkcji podczas jego użytkowania.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EB7AAE" w:rsidRPr="00C2049E" w:rsidTr="00EB7AAE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AE" w:rsidRPr="00C2049E" w:rsidRDefault="00EB7AAE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EB7AAE" w:rsidRDefault="00EB7AAE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EB7AAE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EKSPLOATACYJNE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AAE" w:rsidRPr="00841CE8" w:rsidRDefault="00EB7AAE" w:rsidP="00841CE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masa całego zestawu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30 kg i mniej – 2 pkt. , większe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zakres napięcia 220/240 [V]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50/60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pobór mocy – średni [VA]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czas pracy zasilania awaryjnego oferowanego aparatu &gt;= 30 [min.]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sz w:val="22"/>
                <w:szCs w:val="22"/>
                <w:lang w:eastAsia="pl-PL"/>
              </w:rPr>
              <w:t>45 [min] i więcej – 3 pkt. ,mniejsze wartości – 1 pkt.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wyposażony w kompresor lub turbinę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w tlen ze źródła sprężonego gazu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pracy aparatu przy zakresach ciśnień zasilających tlenu od 3 do 5 [</w:t>
            </w:r>
            <w:proofErr w:type="spellStart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atm</w:t>
            </w:r>
            <w:proofErr w:type="spellEnd"/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841CE8" w:rsidRPr="00C2049E" w:rsidTr="00C372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841CE8" w:rsidRDefault="00841CE8" w:rsidP="00EB7AAE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841CE8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WYPOSAŻENIE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oddechowy wielokrotnego użytku (2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płuco testowe (1szt.)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ramię przegubowe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do nebulizacji pacjentów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nebulizator (do każdego respiratora w cenie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A870ED" w:rsidRPr="00C2049E" w:rsidTr="00EB7A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uchwyt na rury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EB7AA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70ED" w:rsidRPr="00C2049E" w:rsidRDefault="00A870ED" w:rsidP="00841CE8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C2049E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:rsidR="00AE3FA0" w:rsidRPr="00C2049E" w:rsidRDefault="00AE3FA0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A870ED" w:rsidRPr="00C2049E" w:rsidRDefault="00A870ED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C2049E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p w:rsidR="00A870ED" w:rsidRPr="00C2049E" w:rsidRDefault="00A870ED" w:rsidP="00A870ED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4676"/>
        <w:gridCol w:w="2410"/>
      </w:tblGrid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Gwarancja na turbinę </w:t>
            </w:r>
          </w:p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=&gt; 60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Najdłuższy okres – 20 </w:t>
            </w: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C2049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C2049E">
              <w:rPr>
                <w:rFonts w:ascii="Garamond" w:hAnsi="Garamond"/>
                <w:sz w:val="22"/>
                <w:szCs w:val="22"/>
              </w:rPr>
              <w:t>48</w:t>
            </w:r>
            <w:r w:rsidRPr="00C2049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C2049E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C2049E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C2049E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C2049E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</w:t>
            </w: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841CE8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CE8" w:rsidRPr="00C2049E" w:rsidRDefault="00841CE8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C2049E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C2049E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 xml:space="preserve">Szkolenia dla personelu technicznego (min. 2 osoby) z zakresu podstawowej diagnostyki stanu </w:t>
            </w:r>
            <w:r w:rsidRPr="00C2049E">
              <w:rPr>
                <w:rFonts w:ascii="Garamond" w:hAnsi="Garamond"/>
                <w:sz w:val="22"/>
                <w:szCs w:val="22"/>
              </w:rPr>
              <w:lastRenderedPageBreak/>
              <w:t>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C2049E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A870ED" w:rsidRPr="00C2049E" w:rsidRDefault="00A870ED" w:rsidP="00A870ED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A870ED" w:rsidRPr="00C2049E" w:rsidRDefault="00A870ED" w:rsidP="00A870ED">
            <w:pPr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841CE8" w:rsidRDefault="00841CE8">
      <w:r>
        <w:br w:type="page"/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4676"/>
        <w:gridCol w:w="2410"/>
      </w:tblGrid>
      <w:tr w:rsidR="00841CE8" w:rsidRPr="00C2049E" w:rsidTr="00841CE8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E8" w:rsidRPr="00C2049E" w:rsidRDefault="00841CE8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E8" w:rsidRPr="00C2049E" w:rsidRDefault="00841CE8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E8" w:rsidRPr="00C2049E" w:rsidRDefault="00841CE8" w:rsidP="00EB7AAE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A870ED" w:rsidRPr="0055170C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55170C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70ED" w:rsidRPr="00C2049E" w:rsidTr="00841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A870ED">
            <w:pPr>
              <w:pStyle w:val="Akapitzlist"/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0ED" w:rsidRPr="00C2049E" w:rsidRDefault="00A870ED" w:rsidP="00EB7AAE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A870ED" w:rsidRPr="00C2049E" w:rsidRDefault="00A870ED" w:rsidP="00EB7AAE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D" w:rsidRPr="00C2049E" w:rsidRDefault="00A870ED" w:rsidP="00EB7AA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0ED" w:rsidRPr="00C2049E" w:rsidRDefault="00A870ED" w:rsidP="00841CE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C2049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A870ED" w:rsidRPr="00C2049E" w:rsidRDefault="00A870ED" w:rsidP="00A870ED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sectPr w:rsidR="00A870ED" w:rsidRPr="00C2049E" w:rsidSect="00EB7AAE">
      <w:headerReference w:type="default" r:id="rId7"/>
      <w:footerReference w:type="default" r:id="rId8"/>
      <w:pgSz w:w="16838" w:h="11906" w:orient="landscape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956" w:rsidRDefault="00814956" w:rsidP="00A870ED">
      <w:r>
        <w:separator/>
      </w:r>
    </w:p>
  </w:endnote>
  <w:endnote w:type="continuationSeparator" w:id="0">
    <w:p w:rsidR="00814956" w:rsidRDefault="00814956" w:rsidP="00A8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AE" w:rsidRDefault="00EB7AAE" w:rsidP="00304F57">
    <w:pPr>
      <w:pStyle w:val="Stopka"/>
      <w:jc w:val="right"/>
      <w:rPr>
        <w:sz w:val="20"/>
        <w:szCs w:val="20"/>
      </w:rPr>
    </w:pPr>
    <w:r>
      <w:rPr>
        <w:sz w:val="20"/>
        <w:szCs w:val="20"/>
      </w:rPr>
      <w:t>……………………………………………………………………….</w:t>
    </w:r>
  </w:p>
  <w:p w:rsidR="00EB7AAE" w:rsidRDefault="00EB7AAE" w:rsidP="00EB7AAE">
    <w:pPr>
      <w:pStyle w:val="Stopka"/>
      <w:jc w:val="right"/>
    </w:pPr>
    <w:r w:rsidRPr="00A352C6">
      <w:rPr>
        <w:rFonts w:ascii="Garamond" w:hAnsi="Garamond"/>
        <w:kern w:val="0"/>
        <w:lang w:eastAsia="pl-PL"/>
      </w:rPr>
      <w:t xml:space="preserve">podpis i pieczęć osoby (osób) upoważnionej do reprezentowania </w:t>
    </w:r>
    <w:r>
      <w:rPr>
        <w:rFonts w:ascii="Garamond" w:hAnsi="Garamond"/>
        <w:kern w:val="0"/>
        <w:lang w:eastAsia="pl-PL"/>
      </w:rPr>
      <w:t>W</w:t>
    </w:r>
    <w:r w:rsidRPr="00A352C6">
      <w:rPr>
        <w:rFonts w:ascii="Garamond" w:hAnsi="Garamond"/>
        <w:kern w:val="0"/>
        <w:lang w:eastAsia="pl-PL"/>
      </w:rPr>
      <w:t>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956" w:rsidRDefault="00814956" w:rsidP="00A870ED">
      <w:r>
        <w:separator/>
      </w:r>
    </w:p>
  </w:footnote>
  <w:footnote w:type="continuationSeparator" w:id="0">
    <w:p w:rsidR="00814956" w:rsidRDefault="00814956" w:rsidP="00A8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AE" w:rsidRDefault="00EB7AAE" w:rsidP="00304F57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54E59463" wp14:editId="067A8916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170C" w:rsidRDefault="0055170C" w:rsidP="0055170C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2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55170C" w:rsidRPr="00EA6D32" w:rsidRDefault="0055170C" w:rsidP="0055170C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EB7AAE" w:rsidRDefault="00EB7A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D464BACE"/>
    <w:lvl w:ilvl="0" w:tplc="F4BC8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EE"/>
    <w:rsid w:val="00040850"/>
    <w:rsid w:val="0018655F"/>
    <w:rsid w:val="001B0E70"/>
    <w:rsid w:val="001D6D48"/>
    <w:rsid w:val="002227B5"/>
    <w:rsid w:val="0028272B"/>
    <w:rsid w:val="00304F57"/>
    <w:rsid w:val="00386BDE"/>
    <w:rsid w:val="00446E5A"/>
    <w:rsid w:val="0055170C"/>
    <w:rsid w:val="007E38C7"/>
    <w:rsid w:val="00814956"/>
    <w:rsid w:val="00841CE8"/>
    <w:rsid w:val="00A453EE"/>
    <w:rsid w:val="00A870ED"/>
    <w:rsid w:val="00AE3FA0"/>
    <w:rsid w:val="00BB6866"/>
    <w:rsid w:val="00BD5CD6"/>
    <w:rsid w:val="00C2049E"/>
    <w:rsid w:val="00E268D2"/>
    <w:rsid w:val="00EB7484"/>
    <w:rsid w:val="00EB7AAE"/>
    <w:rsid w:val="00EF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4EF5C-D035-4837-81C5-D95A93B4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0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870ED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70ED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870ED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A870ED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870ED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0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0ED"/>
  </w:style>
  <w:style w:type="paragraph" w:styleId="Stopka">
    <w:name w:val="footer"/>
    <w:basedOn w:val="Normalny"/>
    <w:link w:val="StopkaZnak"/>
    <w:unhideWhenUsed/>
    <w:rsid w:val="00A87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0ED"/>
  </w:style>
  <w:style w:type="paragraph" w:styleId="Tekstdymka">
    <w:name w:val="Balloon Text"/>
    <w:basedOn w:val="Normalny"/>
    <w:link w:val="TekstdymkaZnak"/>
    <w:uiPriority w:val="99"/>
    <w:semiHidden/>
    <w:unhideWhenUsed/>
    <w:rsid w:val="00A87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0E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870ED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A870ED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A870ED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A870ED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870ED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A870ED"/>
    <w:rPr>
      <w:szCs w:val="20"/>
    </w:rPr>
  </w:style>
  <w:style w:type="paragraph" w:customStyle="1" w:styleId="Lista-kontynuacja21">
    <w:name w:val="Lista - kontynuacja 21"/>
    <w:basedOn w:val="Normalny"/>
    <w:rsid w:val="00A870ED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A870ED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table" w:styleId="Tabela-Siatka">
    <w:name w:val="Table Grid"/>
    <w:basedOn w:val="Standardowy"/>
    <w:uiPriority w:val="59"/>
    <w:rsid w:val="00A8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A870ED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A870E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A870ED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A870ED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04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2049E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B7AAE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B7AAE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55170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2032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13</cp:revision>
  <dcterms:created xsi:type="dcterms:W3CDTF">2018-04-09T08:44:00Z</dcterms:created>
  <dcterms:modified xsi:type="dcterms:W3CDTF">2018-05-25T06:09:00Z</dcterms:modified>
</cp:coreProperties>
</file>