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72" w:rsidRDefault="00E63072" w:rsidP="00D813C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AC19AF" w:rsidRPr="00E63072" w:rsidRDefault="00AC19AF" w:rsidP="00AC19A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3072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D813CB" w:rsidRDefault="00D813CB" w:rsidP="00AC19A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AC19AF" w:rsidRPr="00E63072" w:rsidRDefault="00D813CB" w:rsidP="00AC19A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3072">
        <w:rPr>
          <w:rFonts w:ascii="Garamond" w:eastAsia="Times New Roman" w:hAnsi="Garamond" w:cs="Times New Roman"/>
          <w:b/>
          <w:lang w:eastAsia="ar-SA"/>
        </w:rPr>
        <w:t>Część 4</w:t>
      </w:r>
      <w:r>
        <w:rPr>
          <w:rFonts w:ascii="Garamond" w:eastAsia="Times New Roman" w:hAnsi="Garamond" w:cs="Times New Roman"/>
          <w:b/>
          <w:lang w:eastAsia="ar-SA"/>
        </w:rPr>
        <w:t xml:space="preserve"> </w:t>
      </w:r>
      <w:r w:rsidR="00AC19AF" w:rsidRPr="00E63072">
        <w:rPr>
          <w:rFonts w:ascii="Garamond" w:eastAsia="Times New Roman" w:hAnsi="Garamond" w:cs="Times New Roman"/>
          <w:b/>
          <w:lang w:eastAsia="ar-SA"/>
        </w:rPr>
        <w:t>– zestaw do elektrofore</w:t>
      </w:r>
      <w:r>
        <w:rPr>
          <w:rFonts w:ascii="Garamond" w:eastAsia="Times New Roman" w:hAnsi="Garamond" w:cs="Times New Roman"/>
          <w:b/>
          <w:lang w:eastAsia="ar-SA"/>
        </w:rPr>
        <w:t>zy żeli do analiz molekularnych (1 sztuka)</w:t>
      </w: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AC19AF" w:rsidRPr="00E63072" w:rsidRDefault="00AC19AF" w:rsidP="00AC19AF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AC19AF" w:rsidRPr="00E63072" w:rsidRDefault="00AC19AF" w:rsidP="00AC19AF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AC19AF" w:rsidRPr="00E63072" w:rsidRDefault="00AC19AF" w:rsidP="00AC19AF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AC19AF" w:rsidRPr="00E63072" w:rsidRDefault="00AC19AF" w:rsidP="00AC19AF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E63072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AC19AF" w:rsidRPr="00E63072" w:rsidRDefault="00AC19AF" w:rsidP="00AC19AF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7217"/>
        <w:gridCol w:w="3397"/>
      </w:tblGrid>
      <w:tr w:rsidR="00D7668B" w:rsidRPr="009C0750" w:rsidTr="00E50243">
        <w:trPr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2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D7668B" w:rsidRPr="009C0750" w:rsidRDefault="00D7668B" w:rsidP="00D76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</w:p>
        </w:tc>
      </w:tr>
      <w:tr w:rsidR="00D7668B" w:rsidRPr="009C0750" w:rsidTr="00E50243">
        <w:trPr>
          <w:trHeight w:val="70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9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</w:tr>
      <w:tr w:rsidR="00D7668B" w:rsidRPr="009C0750" w:rsidTr="009C0750">
        <w:trPr>
          <w:trHeight w:val="49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8B" w:rsidRPr="009C0750" w:rsidRDefault="00D7668B" w:rsidP="00D766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9C075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8B" w:rsidRPr="009C0750" w:rsidRDefault="00D7668B" w:rsidP="00D766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9C075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Zestaw do elektroforezy żeli do analiz molekularnych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D7668B" w:rsidRPr="009C0750" w:rsidTr="00E50243">
        <w:trPr>
          <w:trHeight w:val="527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8B" w:rsidRPr="009C0750" w:rsidRDefault="00D7668B" w:rsidP="00D7668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9C075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8B" w:rsidRPr="009C0750" w:rsidRDefault="00D7668B" w:rsidP="00D7668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9C0750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D7668B" w:rsidRPr="009C0750" w:rsidTr="00E50243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9C0750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668B" w:rsidRPr="009C0750" w:rsidRDefault="00D7668B" w:rsidP="00D7668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D813CB" w:rsidRDefault="00D813CB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AC19AF" w:rsidRPr="00E63072" w:rsidRDefault="00AC19AF" w:rsidP="00D813C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E63072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AC19AF" w:rsidRPr="00E63072" w:rsidRDefault="00AC19AF" w:rsidP="00AC19A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"/>
        <w:gridCol w:w="506"/>
        <w:gridCol w:w="6942"/>
        <w:gridCol w:w="7"/>
        <w:gridCol w:w="2401"/>
        <w:gridCol w:w="8"/>
        <w:gridCol w:w="2407"/>
        <w:gridCol w:w="2266"/>
      </w:tblGrid>
      <w:tr w:rsidR="00AC19AF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9AF" w:rsidRPr="00E63072" w:rsidRDefault="00AC19AF" w:rsidP="00E63072">
            <w:pPr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Zestaw do analizy próbek znakowanych fluorescencyjnie i kolorymetrycznie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 zintegrowana mini-ciemnia optyczna z wbudowanym </w:t>
            </w:r>
            <w:proofErr w:type="spellStart"/>
            <w:r w:rsidRPr="00E63072">
              <w:rPr>
                <w:rFonts w:ascii="Garamond" w:eastAsia="Calibri" w:hAnsi="Garamond" w:cs="Times New Roman"/>
              </w:rPr>
              <w:t>transiluminatorem</w:t>
            </w:r>
            <w:proofErr w:type="spellEnd"/>
            <w:r w:rsidRPr="00E63072">
              <w:rPr>
                <w:rFonts w:ascii="Garamond" w:eastAsia="Calibri" w:hAnsi="Garamond" w:cs="Times New Roman"/>
              </w:rPr>
              <w:t xml:space="preserve"> UV i oświetleniem światłem białym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E63072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E63072">
              <w:rPr>
                <w:rFonts w:ascii="Garamond" w:eastAsia="Calibri" w:hAnsi="Garamond" w:cs="Times New Roman"/>
              </w:rPr>
              <w:t xml:space="preserve"> UV  wysuwany z urządzenia do załadowania żelu, </w:t>
            </w:r>
            <w:r w:rsidRPr="00E63072">
              <w:rPr>
                <w:rFonts w:ascii="Garamond" w:eastAsia="Times New Roman" w:hAnsi="Garamond" w:cs="Times New Roman"/>
                <w:lang w:eastAsia="pl-PL"/>
              </w:rPr>
              <w:t xml:space="preserve">szuflada </w:t>
            </w:r>
            <w:proofErr w:type="spellStart"/>
            <w:r w:rsidRPr="00E63072">
              <w:rPr>
                <w:rFonts w:ascii="Garamond" w:eastAsia="Times New Roman" w:hAnsi="Garamond" w:cs="Times New Roman"/>
                <w:lang w:eastAsia="pl-PL"/>
              </w:rPr>
              <w:t>transiluminatora</w:t>
            </w:r>
            <w:proofErr w:type="spellEnd"/>
            <w:r w:rsidRPr="00E63072">
              <w:rPr>
                <w:rFonts w:ascii="Garamond" w:eastAsia="Times New Roman" w:hAnsi="Garamond" w:cs="Times New Roman"/>
                <w:lang w:eastAsia="pl-PL"/>
              </w:rPr>
              <w:t xml:space="preserve">  otwierana niezależnie od drzwi mini-ciemni.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Detekcja  dokonywana za pomocą kamery z przetwornikiem CCD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autoSpaceDE w:val="0"/>
              <w:autoSpaceDN w:val="0"/>
              <w:adjustRightInd w:val="0"/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Rozdzielczość kamery  minimum 1360 x 1024 pikseli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Rozmiary piksela w kamerze CCD  minimum 4,65 x 4,65 </w:t>
            </w:r>
            <w:r w:rsidRPr="00E63072">
              <w:rPr>
                <w:rFonts w:ascii="Garamond" w:eastAsia="Calibri" w:hAnsi="Garamond" w:cs="Times New Roman"/>
              </w:rPr>
              <w:sym w:font="Symbol" w:char="F06D"/>
            </w:r>
            <w:r w:rsidRPr="00E63072">
              <w:rPr>
                <w:rFonts w:ascii="Garamond" w:eastAsia="Calibri" w:hAnsi="Garamond" w:cs="Times New Roman"/>
              </w:rPr>
              <w:t>m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D813CB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Zakres dynamiczny sygnału  min. 12 bit (4096 poziomów szarości)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12 bit -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 0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- 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>3 pkt.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obiektyw o zmiennej ogniskowej minimum 8,5 – 51 mm i jasności f/1,2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Sterowanie kamerą dostępne zarówno z panelu sterującego zintegrowanego z mini ciemnią optyczną jak i z poziomu oprogramowania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Sterowanie ustawieniem oświetlenia żelu z panelu sterującego oraz z oprogramowania komputerowego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Rozdzielczość przestrzenna min.  47,8 </w:t>
            </w:r>
            <w:r w:rsidRPr="00E63072">
              <w:rPr>
                <w:rFonts w:ascii="Garamond" w:eastAsia="Calibri" w:hAnsi="Garamond" w:cs="Times New Roman"/>
              </w:rPr>
              <w:sym w:font="Symbol" w:char="F06D"/>
            </w:r>
            <w:r w:rsidRPr="00E63072">
              <w:rPr>
                <w:rFonts w:ascii="Garamond" w:eastAsia="Calibri" w:hAnsi="Garamond" w:cs="Times New Roman"/>
              </w:rPr>
              <w:t>m/piksel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Urządzenie z trzypozycyjnym zmieniaczem filtrów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Urządzenie  wyposażone w płytkę konwertora światła UV umożliwiającą pracę z podświetlaniem światłem białym w transmisji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Urządzenie  wyposażone w filtr do pracy z  próbkami znaczonymi bromkiem </w:t>
            </w:r>
            <w:proofErr w:type="spellStart"/>
            <w:r w:rsidRPr="00E63072">
              <w:rPr>
                <w:rFonts w:ascii="Garamond" w:eastAsia="Calibri" w:hAnsi="Garamond" w:cs="Times New Roman"/>
              </w:rPr>
              <w:t>etydyny</w:t>
            </w:r>
            <w:proofErr w:type="spellEnd"/>
            <w:r w:rsidRPr="00E6307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Urządzenie  posiada </w:t>
            </w:r>
            <w:proofErr w:type="spellStart"/>
            <w:r w:rsidRPr="00E63072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E63072">
              <w:rPr>
                <w:rFonts w:ascii="Garamond" w:eastAsia="Calibri" w:hAnsi="Garamond" w:cs="Times New Roman"/>
              </w:rPr>
              <w:t xml:space="preserve"> o wymiarach min. 26x25 cm i długości fali 302 </w:t>
            </w:r>
            <w:proofErr w:type="spellStart"/>
            <w:r w:rsidRPr="00E63072">
              <w:rPr>
                <w:rFonts w:ascii="Garamond" w:eastAsia="Calibri" w:hAnsi="Garamond" w:cs="Times New Roman"/>
              </w:rPr>
              <w:t>nm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E63072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E63072">
              <w:rPr>
                <w:rFonts w:ascii="Garamond" w:eastAsia="Calibri" w:hAnsi="Garamond" w:cs="Times New Roman"/>
              </w:rPr>
              <w:t xml:space="preserve">  posiada dwustopniową regulację intensywności światła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proofErr w:type="spellStart"/>
            <w:r w:rsidRPr="00E63072">
              <w:rPr>
                <w:rFonts w:ascii="Garamond" w:eastAsia="Calibri" w:hAnsi="Garamond" w:cs="Times New Roman"/>
              </w:rPr>
              <w:t>Transiluminator</w:t>
            </w:r>
            <w:proofErr w:type="spellEnd"/>
            <w:r w:rsidRPr="00E63072">
              <w:rPr>
                <w:rFonts w:ascii="Garamond" w:eastAsia="Calibri" w:hAnsi="Garamond" w:cs="Times New Roman"/>
              </w:rPr>
              <w:t xml:space="preserve">  posiada dwa tryby pracy: </w:t>
            </w:r>
            <w:proofErr w:type="spellStart"/>
            <w:r w:rsidRPr="00E63072">
              <w:rPr>
                <w:rFonts w:ascii="Garamond" w:eastAsia="Calibri" w:hAnsi="Garamond" w:cs="Times New Roman"/>
                <w:i/>
              </w:rPr>
              <w:t>preparative</w:t>
            </w:r>
            <w:proofErr w:type="spellEnd"/>
            <w:r w:rsidRPr="00E63072">
              <w:rPr>
                <w:rFonts w:ascii="Garamond" w:eastAsia="Calibri" w:hAnsi="Garamond" w:cs="Times New Roman"/>
                <w:i/>
              </w:rPr>
              <w:t xml:space="preserve"> </w:t>
            </w:r>
            <w:r w:rsidRPr="00E63072">
              <w:rPr>
                <w:rFonts w:ascii="Garamond" w:eastAsia="Calibri" w:hAnsi="Garamond" w:cs="Times New Roman"/>
              </w:rPr>
              <w:t>i</w:t>
            </w:r>
            <w:r w:rsidRPr="00E63072">
              <w:rPr>
                <w:rFonts w:ascii="Garamond" w:eastAsia="Calibri" w:hAnsi="Garamond" w:cs="Times New Roman"/>
                <w:i/>
              </w:rPr>
              <w:t xml:space="preserve"> </w:t>
            </w:r>
            <w:proofErr w:type="spellStart"/>
            <w:r w:rsidRPr="00E63072">
              <w:rPr>
                <w:rFonts w:ascii="Garamond" w:eastAsia="Calibri" w:hAnsi="Garamond" w:cs="Times New Roman"/>
                <w:i/>
              </w:rPr>
              <w:t>analitycal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Kamera  podłączona do komputera poprzez łącze </w:t>
            </w:r>
            <w:r w:rsidRPr="00E63072">
              <w:rPr>
                <w:rFonts w:ascii="Garamond" w:eastAsia="Calibri" w:hAnsi="Garamond" w:cs="Times New Roman"/>
                <w:color w:val="000000"/>
              </w:rPr>
              <w:t>USB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Urządzenie  wyposażone w linijkę do cięcia żeli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Do sterowania urządzeniami, akwizycji i obróbki danych  służy jeden program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Oprogramowanie  zgodne z  GLP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Oprogramowanie  dostępne w nielimitowanej wersji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D7668B">
              <w:rPr>
                <w:rFonts w:ascii="Garamond" w:eastAsia="Calibri" w:hAnsi="Garamond" w:cs="Times New Roman"/>
              </w:rPr>
              <w:t>Oprogramowanie w systemie Windows 8 lub 10 (64 bit)</w:t>
            </w:r>
            <w:r w:rsidR="00D7668B" w:rsidRPr="00D7668B">
              <w:rPr>
                <w:rFonts w:ascii="Garamond" w:eastAsia="Calibri" w:hAnsi="Garamond" w:cs="Times New Roman"/>
              </w:rPr>
              <w:t xml:space="preserve"> lub równoważny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Oprogramowanie  umożliwia tworzenie i wydruk raportów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Oprogramowanie  umożliwia tworzenie krzywych kalibracyjnych i obliczenia ilościowe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>Do podstawowej obróbki i wydruku obrazów dostępna nielimitowana ilość programu w wersji podstawowej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  <w:iCs/>
              </w:rPr>
              <w:t xml:space="preserve">Oprogramowanie  umożliwia </w:t>
            </w:r>
            <w:r w:rsidRPr="00E63072">
              <w:rPr>
                <w:rFonts w:ascii="Garamond" w:eastAsia="Calibri" w:hAnsi="Garamond" w:cs="Times New Roman"/>
              </w:rPr>
              <w:t>obróbkę obrazu (obracanie o dowolny kąt, negatyw, regulacja jasności i kontrastu pod kątem wybranego fragmentu lub całego żelu)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bookmarkStart w:id="0" w:name="OLE_LINK1"/>
            <w:r w:rsidRPr="00E63072">
              <w:rPr>
                <w:rFonts w:ascii="Garamond" w:eastAsia="Calibri" w:hAnsi="Garamond" w:cs="Times New Roman"/>
                <w:iCs/>
              </w:rPr>
              <w:t xml:space="preserve">Oprogramowanie  posiada opcję </w:t>
            </w:r>
            <w:bookmarkEnd w:id="0"/>
            <w:r w:rsidRPr="00E63072">
              <w:rPr>
                <w:rFonts w:ascii="Garamond" w:eastAsia="Calibri" w:hAnsi="Garamond" w:cs="Times New Roman"/>
              </w:rPr>
              <w:t>automatycznego rozpoznawanie ścieżek i prążków, wprowadzanie markerów mas cząsteczkowych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  <w:iCs/>
              </w:rPr>
            </w:pPr>
            <w:r w:rsidRPr="00E63072">
              <w:rPr>
                <w:rFonts w:ascii="Garamond" w:eastAsia="Calibri" w:hAnsi="Garamond" w:cs="Times New Roman"/>
                <w:iCs/>
              </w:rPr>
              <w:t>Oprogramowanie  umożliwiające obróbkę plików typu .</w:t>
            </w:r>
            <w:proofErr w:type="spellStart"/>
            <w:r w:rsidRPr="00E63072">
              <w:rPr>
                <w:rFonts w:ascii="Garamond" w:eastAsia="Calibri" w:hAnsi="Garamond" w:cs="Times New Roman"/>
                <w:iCs/>
              </w:rPr>
              <w:t>tif</w:t>
            </w:r>
            <w:proofErr w:type="spellEnd"/>
            <w:r w:rsidRPr="00E63072">
              <w:rPr>
                <w:rFonts w:ascii="Garamond" w:eastAsia="Calibri" w:hAnsi="Garamond" w:cs="Times New Roman"/>
                <w:iCs/>
              </w:rPr>
              <w:t xml:space="preserve"> i .</w:t>
            </w:r>
            <w:proofErr w:type="spellStart"/>
            <w:r w:rsidRPr="00E63072">
              <w:rPr>
                <w:rFonts w:ascii="Garamond" w:eastAsia="Calibri" w:hAnsi="Garamond" w:cs="Times New Roman"/>
                <w:iCs/>
              </w:rPr>
              <w:t>scn</w:t>
            </w:r>
            <w:proofErr w:type="spellEnd"/>
            <w:r w:rsidRPr="00E63072">
              <w:rPr>
                <w:rFonts w:ascii="Garamond" w:eastAsia="Calibri" w:hAnsi="Garamond" w:cs="Times New Roman"/>
                <w:iCs/>
              </w:rPr>
              <w:t xml:space="preserve"> oraz export do plików typu .</w:t>
            </w:r>
            <w:proofErr w:type="spellStart"/>
            <w:r w:rsidRPr="00E63072">
              <w:rPr>
                <w:rFonts w:ascii="Garamond" w:eastAsia="Calibri" w:hAnsi="Garamond" w:cs="Times New Roman"/>
                <w:iCs/>
              </w:rPr>
              <w:t>tif</w:t>
            </w:r>
            <w:proofErr w:type="spellEnd"/>
            <w:r w:rsidRPr="00E63072">
              <w:rPr>
                <w:rFonts w:ascii="Garamond" w:eastAsia="Calibri" w:hAnsi="Garamond" w:cs="Times New Roman"/>
                <w:iCs/>
              </w:rPr>
              <w:t>, .</w:t>
            </w:r>
            <w:proofErr w:type="spellStart"/>
            <w:r w:rsidRPr="00E63072">
              <w:rPr>
                <w:rFonts w:ascii="Garamond" w:eastAsia="Calibri" w:hAnsi="Garamond" w:cs="Times New Roman"/>
                <w:iCs/>
              </w:rPr>
              <w:t>jpeg</w:t>
            </w:r>
            <w:proofErr w:type="spellEnd"/>
            <w:r w:rsidRPr="00E63072">
              <w:rPr>
                <w:rFonts w:ascii="Garamond" w:eastAsia="Calibri" w:hAnsi="Garamond" w:cs="Times New Roman"/>
                <w:iCs/>
              </w:rPr>
              <w:t xml:space="preserve"> oraz .</w:t>
            </w:r>
            <w:proofErr w:type="spellStart"/>
            <w:r w:rsidRPr="00E63072">
              <w:rPr>
                <w:rFonts w:ascii="Garamond" w:eastAsia="Calibri" w:hAnsi="Garamond" w:cs="Times New Roman"/>
                <w:iCs/>
              </w:rPr>
              <w:t>png</w:t>
            </w:r>
            <w:proofErr w:type="spellEnd"/>
            <w:r w:rsidRPr="00E63072">
              <w:rPr>
                <w:rFonts w:ascii="Garamond" w:eastAsia="Calibri" w:hAnsi="Garamond" w:cs="Times New Roman"/>
                <w:iCs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D813CB">
        <w:trPr>
          <w:gridBefore w:val="1"/>
          <w:wBefore w:w="59" w:type="dxa"/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Calibri" w:hAnsi="Garamond" w:cs="Times New Roman"/>
              </w:rPr>
              <w:t xml:space="preserve">System zawiera  dodatkowo stację roboczą- komputer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3CB" w:rsidRPr="00E63072" w:rsidRDefault="00D813CB" w:rsidP="00E63072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D813CB" w:rsidRPr="00E63072" w:rsidTr="00452CA1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4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lang w:eastAsia="ar-SA"/>
              </w:rPr>
              <w:t xml:space="preserve">Warunki energetyczne </w:t>
            </w:r>
            <w:r w:rsidRPr="00E63072">
              <w:rPr>
                <w:rFonts w:ascii="Garamond" w:eastAsia="Times New Roman" w:hAnsi="Garamond" w:cs="Times New Roman"/>
                <w:b/>
                <w:lang w:eastAsia="ar-SA"/>
              </w:rPr>
              <w:t>urządzenia</w:t>
            </w:r>
          </w:p>
        </w:tc>
      </w:tr>
      <w:tr w:rsidR="00D813CB" w:rsidRPr="00E63072" w:rsidTr="00D813CB">
        <w:trPr>
          <w:trHeight w:val="444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813CB" w:rsidRPr="00E63072" w:rsidTr="003F7E6B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54D95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813CB" w:rsidRPr="00E63072" w:rsidTr="003F7E6B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54D95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813CB" w:rsidRPr="00E63072" w:rsidTr="003F7E6B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54D95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813CB" w:rsidRPr="00E63072" w:rsidTr="003F7E6B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54D95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D813CB" w:rsidRPr="00E63072" w:rsidTr="003F7E6B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13CB" w:rsidRPr="00E63072" w:rsidRDefault="00D813CB" w:rsidP="00E63072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54D95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AC19AF" w:rsidRPr="00E63072" w:rsidRDefault="00AC19AF" w:rsidP="00E63072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</w:p>
    <w:p w:rsidR="00AC19AF" w:rsidRPr="00E63072" w:rsidRDefault="00AC19AF" w:rsidP="00D813CB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E63072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AC19AF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12 miesiące – 0 pkt.</w:t>
            </w:r>
          </w:p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13 i więcej – 5 pkt.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E63072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E63072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E63072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D813CB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autoSpaceDE w:val="0"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8F0B4F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8F0B4F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8F0B4F" w:rsidRPr="008F0B4F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autoSpaceDE w:val="0"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Aparat jest lub będzie pozbawiony wszelkich blokad, kodów serwisowych, itp. które po upływie gwarancji utrudniałyby właścicielowi dostęp do opcji 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lastRenderedPageBreak/>
              <w:t>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lastRenderedPageBreak/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 – 3 pkt.</w:t>
            </w:r>
          </w:p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AC19AF" w:rsidRPr="00E63072" w:rsidRDefault="00AC19AF" w:rsidP="00E63072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</w:p>
    <w:p w:rsidR="00AC19AF" w:rsidRPr="00E63072" w:rsidRDefault="00AC19AF" w:rsidP="00D813CB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E63072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AC19AF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9AF" w:rsidRPr="00E63072" w:rsidRDefault="00AC19AF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9AF" w:rsidRPr="00E63072" w:rsidRDefault="00AC19AF" w:rsidP="00E63072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D813CB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Instrukcja obsługi w jęz</w:t>
            </w:r>
            <w:r>
              <w:rPr>
                <w:rFonts w:ascii="Garamond" w:eastAsia="Times New Roman" w:hAnsi="Garamond" w:cs="Times New Roman"/>
                <w:lang w:eastAsia="ar-SA"/>
              </w:rPr>
              <w:t>yku polskim w formie drukowanej</w:t>
            </w: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 i elektronicznej (</w:t>
            </w:r>
            <w:proofErr w:type="spellStart"/>
            <w:r w:rsidRPr="00E63072">
              <w:rPr>
                <w:rFonts w:ascii="Garamond" w:eastAsia="Times New Roman" w:hAnsi="Garamond" w:cs="Times New Roman"/>
                <w:lang w:eastAsia="ar-SA"/>
              </w:rPr>
              <w:t>pendrive</w:t>
            </w:r>
            <w:proofErr w:type="spellEnd"/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rPr>
          <w:trHeight w:val="7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813CB" w:rsidRPr="00E63072" w:rsidTr="00D813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D813CB" w:rsidRDefault="00D813CB" w:rsidP="00D813C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3CB" w:rsidRPr="00E63072" w:rsidRDefault="00D813CB" w:rsidP="00E63072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813CB" w:rsidRPr="00E63072" w:rsidRDefault="00D813CB" w:rsidP="00E63072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307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C19AF" w:rsidRPr="00AC19AF" w:rsidTr="00D813CB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9AF" w:rsidRPr="00AC19AF" w:rsidRDefault="00AC19AF" w:rsidP="00AC19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AC19AF" w:rsidRPr="00AC19AF" w:rsidRDefault="00AC19AF" w:rsidP="00AC1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19AF" w:rsidRPr="00AC19AF" w:rsidRDefault="00AC19AF" w:rsidP="00AC1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19AF" w:rsidRPr="00AC19AF" w:rsidRDefault="00AC19AF" w:rsidP="00AC19A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C19AF" w:rsidRPr="00AC19AF" w:rsidRDefault="00AC19AF" w:rsidP="00AC19AF">
      <w:pPr>
        <w:rPr>
          <w:rFonts w:ascii="Calibri" w:eastAsia="Calibri" w:hAnsi="Calibri" w:cs="Times New Roman"/>
        </w:rPr>
      </w:pPr>
    </w:p>
    <w:p w:rsidR="008F7283" w:rsidRDefault="008F7283"/>
    <w:sectPr w:rsidR="008F7283" w:rsidSect="00D813CB">
      <w:headerReference w:type="default" r:id="rId8"/>
      <w:footerReference w:type="default" r:id="rId9"/>
      <w:pgSz w:w="16838" w:h="11906" w:orient="landscape"/>
      <w:pgMar w:top="1417" w:right="1417" w:bottom="1417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CC" w:rsidRDefault="00423CCC" w:rsidP="00E63072">
      <w:pPr>
        <w:spacing w:after="0" w:line="240" w:lineRule="auto"/>
      </w:pPr>
      <w:r>
        <w:separator/>
      </w:r>
    </w:p>
  </w:endnote>
  <w:endnote w:type="continuationSeparator" w:id="0">
    <w:p w:rsidR="00423CCC" w:rsidRDefault="00423CCC" w:rsidP="00E6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019338"/>
      <w:docPartObj>
        <w:docPartGallery w:val="Page Numbers (Bottom of Page)"/>
        <w:docPartUnique/>
      </w:docPartObj>
    </w:sdtPr>
    <w:sdtEndPr/>
    <w:sdtContent>
      <w:p w:rsidR="00E63072" w:rsidRDefault="00E6307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4F">
          <w:rPr>
            <w:noProof/>
          </w:rPr>
          <w:t>4</w:t>
        </w:r>
        <w:r>
          <w:fldChar w:fldCharType="end"/>
        </w:r>
        <w:r>
          <w:tab/>
        </w:r>
        <w:r>
          <w:tab/>
          <w:t xml:space="preserve">                                      </w:t>
        </w:r>
        <w:r w:rsidRPr="00E63072">
          <w:rPr>
            <w:rFonts w:ascii="Garamond" w:hAnsi="Garamond"/>
            <w:lang w:eastAsia="pl-PL"/>
          </w:rPr>
          <w:t xml:space="preserve">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E63072" w:rsidRDefault="00E63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CC" w:rsidRDefault="00423CCC" w:rsidP="00E63072">
      <w:pPr>
        <w:spacing w:after="0" w:line="240" w:lineRule="auto"/>
      </w:pPr>
      <w:r>
        <w:separator/>
      </w:r>
    </w:p>
  </w:footnote>
  <w:footnote w:type="continuationSeparator" w:id="0">
    <w:p w:rsidR="00423CCC" w:rsidRDefault="00423CCC" w:rsidP="00E6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72" w:rsidRPr="000931ED" w:rsidRDefault="00E63072" w:rsidP="00E63072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E63072" w:rsidRDefault="00E63072" w:rsidP="00E63072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E63072" w:rsidRDefault="00D813CB" w:rsidP="00E63072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 nr ……</w:t>
    </w:r>
    <w:r w:rsidR="00E63072">
      <w:rPr>
        <w:rFonts w:ascii="Garamond" w:eastAsia="Times New Roman" w:hAnsi="Garamond"/>
        <w:lang w:eastAsia="pl-PL"/>
      </w:rPr>
      <w:t xml:space="preserve"> do umowy</w:t>
    </w:r>
  </w:p>
  <w:p w:rsidR="00D813CB" w:rsidRDefault="00D813CB" w:rsidP="00D813CB">
    <w:pPr>
      <w:pStyle w:val="Nagwek"/>
      <w:jc w:val="center"/>
    </w:pPr>
    <w:r>
      <w:rPr>
        <w:rFonts w:ascii="Garamond" w:eastAsia="Times New Roman" w:hAnsi="Garamond"/>
        <w:lang w:eastAsia="pl-PL"/>
      </w:rPr>
      <w:t>Część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31A9"/>
    <w:multiLevelType w:val="hybridMultilevel"/>
    <w:tmpl w:val="AE8CC1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AF"/>
    <w:rsid w:val="00030D1F"/>
    <w:rsid w:val="002478D3"/>
    <w:rsid w:val="00423CCC"/>
    <w:rsid w:val="00712328"/>
    <w:rsid w:val="008F0B4F"/>
    <w:rsid w:val="008F7283"/>
    <w:rsid w:val="009C0750"/>
    <w:rsid w:val="00AC19AF"/>
    <w:rsid w:val="00D7668B"/>
    <w:rsid w:val="00D813CB"/>
    <w:rsid w:val="00E62C34"/>
    <w:rsid w:val="00E63072"/>
    <w:rsid w:val="00E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C19AF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19AF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C19AF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C19A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C19AF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19AF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C19AF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C19AF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C19AF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C19AF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AC19AF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6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072"/>
  </w:style>
  <w:style w:type="paragraph" w:styleId="Stopka">
    <w:name w:val="footer"/>
    <w:basedOn w:val="Normalny"/>
    <w:link w:val="StopkaZnak"/>
    <w:uiPriority w:val="99"/>
    <w:unhideWhenUsed/>
    <w:rsid w:val="00E6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072"/>
  </w:style>
  <w:style w:type="paragraph" w:styleId="Akapitzlist">
    <w:name w:val="List Paragraph"/>
    <w:basedOn w:val="Normalny"/>
    <w:uiPriority w:val="34"/>
    <w:qFormat/>
    <w:rsid w:val="00D81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C19AF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19AF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C19AF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C19A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C19AF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19AF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C19AF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C19AF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C19AF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C19AF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AC19AF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6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072"/>
  </w:style>
  <w:style w:type="paragraph" w:styleId="Stopka">
    <w:name w:val="footer"/>
    <w:basedOn w:val="Normalny"/>
    <w:link w:val="StopkaZnak"/>
    <w:uiPriority w:val="99"/>
    <w:unhideWhenUsed/>
    <w:rsid w:val="00E6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072"/>
  </w:style>
  <w:style w:type="paragraph" w:styleId="Akapitzlist">
    <w:name w:val="List Paragraph"/>
    <w:basedOn w:val="Normalny"/>
    <w:uiPriority w:val="34"/>
    <w:qFormat/>
    <w:rsid w:val="00D8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8</cp:revision>
  <dcterms:created xsi:type="dcterms:W3CDTF">2018-09-11T18:24:00Z</dcterms:created>
  <dcterms:modified xsi:type="dcterms:W3CDTF">2018-09-21T05:49:00Z</dcterms:modified>
</cp:coreProperties>
</file>