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8E8" w:rsidRDefault="00F838E8" w:rsidP="00F838E8">
      <w:pPr>
        <w:spacing w:line="288" w:lineRule="auto"/>
        <w:rPr>
          <w:rFonts w:ascii="Century Gothic" w:hAnsi="Century Gothic"/>
          <w:b/>
        </w:rPr>
      </w:pPr>
    </w:p>
    <w:p w:rsidR="00F838E8" w:rsidRPr="001C2467" w:rsidRDefault="00F838E8" w:rsidP="00F838E8">
      <w:pPr>
        <w:widowControl/>
        <w:autoSpaceDN w:val="0"/>
        <w:spacing w:after="0" w:line="240" w:lineRule="auto"/>
        <w:jc w:val="center"/>
        <w:textAlignment w:val="baseline"/>
        <w:rPr>
          <w:rFonts w:ascii="Century Gothic" w:eastAsia="Times New Roman" w:hAnsi="Century Gothic" w:cs="Times New Roman"/>
          <w:b/>
          <w:kern w:val="3"/>
          <w:sz w:val="18"/>
          <w:szCs w:val="18"/>
          <w:lang w:eastAsia="zh-CN"/>
        </w:rPr>
      </w:pPr>
      <w:r w:rsidRPr="001C2467">
        <w:rPr>
          <w:rFonts w:ascii="Century Gothic" w:eastAsia="Times New Roman" w:hAnsi="Century Gothic" w:cs="Times New Roman"/>
          <w:kern w:val="2"/>
          <w:sz w:val="18"/>
          <w:szCs w:val="18"/>
        </w:rPr>
        <w:tab/>
      </w:r>
    </w:p>
    <w:p w:rsidR="00F838E8" w:rsidRPr="001C2467" w:rsidRDefault="00F838E8" w:rsidP="00F838E8">
      <w:pPr>
        <w:widowControl/>
        <w:tabs>
          <w:tab w:val="center" w:pos="4536"/>
          <w:tab w:val="right" w:pos="14040"/>
        </w:tabs>
        <w:suppressAutoHyphens w:val="0"/>
        <w:spacing w:after="0" w:line="240" w:lineRule="auto"/>
        <w:rPr>
          <w:rFonts w:ascii="Century Gothic" w:eastAsia="Times New Roman" w:hAnsi="Century Gothic" w:cs="Times New Roman"/>
          <w:sz w:val="18"/>
          <w:szCs w:val="18"/>
          <w:lang w:eastAsia="pl-PL"/>
        </w:rPr>
      </w:pPr>
      <w:r w:rsidRPr="001C2467">
        <w:rPr>
          <w:rFonts w:ascii="Century Gothic" w:eastAsia="Times New Roman" w:hAnsi="Century Gothic" w:cs="Times New Roman"/>
          <w:bCs/>
          <w:kern w:val="2"/>
          <w:sz w:val="18"/>
          <w:szCs w:val="18"/>
          <w:lang w:eastAsia="pl-PL"/>
        </w:rPr>
        <w:t>NSSU.DFP.271.4.2019.ADB</w:t>
      </w:r>
      <w:r w:rsidRPr="001C2467">
        <w:rPr>
          <w:rFonts w:ascii="Century Gothic" w:eastAsia="Times New Roman" w:hAnsi="Century Gothic" w:cs="Times New Roman"/>
          <w:sz w:val="18"/>
          <w:szCs w:val="18"/>
          <w:lang w:eastAsia="pl-PL"/>
        </w:rPr>
        <w:t xml:space="preserve">                                                                                                                                                                          Załącznik nr 1a do specyfikacji</w:t>
      </w:r>
    </w:p>
    <w:p w:rsidR="00F838E8" w:rsidRPr="001C2467" w:rsidRDefault="00F838E8" w:rsidP="00F838E8">
      <w:pPr>
        <w:widowControl/>
        <w:autoSpaceDN w:val="0"/>
        <w:spacing w:after="0" w:line="288" w:lineRule="auto"/>
        <w:jc w:val="center"/>
        <w:rPr>
          <w:rFonts w:ascii="Century Gothic" w:eastAsia="Times New Roman" w:hAnsi="Century Gothic" w:cs="Times New Roman"/>
          <w:b/>
          <w:kern w:val="3"/>
          <w:sz w:val="20"/>
          <w:szCs w:val="20"/>
          <w:lang w:eastAsia="zh-CN"/>
        </w:rPr>
      </w:pPr>
      <w:r w:rsidRPr="001C2467">
        <w:rPr>
          <w:rFonts w:ascii="Century Gothic" w:eastAsia="Times New Roman" w:hAnsi="Century Gothic" w:cs="Times New Roman"/>
          <w:sz w:val="18"/>
          <w:szCs w:val="18"/>
          <w:lang w:eastAsia="pl-PL"/>
        </w:rPr>
        <w:t xml:space="preserve">                                                                                                                                                                                                  Załącznik nr …… do umowy</w:t>
      </w:r>
    </w:p>
    <w:p w:rsidR="00F838E8" w:rsidRDefault="00F838E8" w:rsidP="00F838E8">
      <w:pPr>
        <w:spacing w:line="288" w:lineRule="auto"/>
        <w:jc w:val="center"/>
        <w:rPr>
          <w:rFonts w:ascii="Century Gothic" w:hAnsi="Century Gothic"/>
          <w:b/>
        </w:rPr>
      </w:pPr>
      <w:r>
        <w:rPr>
          <w:rFonts w:ascii="Century Gothic" w:hAnsi="Century Gothic"/>
          <w:b/>
        </w:rPr>
        <w:t>Część 4</w:t>
      </w:r>
    </w:p>
    <w:p w:rsidR="00334A44" w:rsidRDefault="00334A44" w:rsidP="00334A44">
      <w:pPr>
        <w:spacing w:line="288" w:lineRule="auto"/>
        <w:jc w:val="center"/>
        <w:rPr>
          <w:rFonts w:ascii="Century Gothic" w:hAnsi="Century Gothic"/>
          <w:b/>
        </w:rPr>
      </w:pPr>
      <w:r w:rsidRPr="001A32C6">
        <w:rPr>
          <w:rFonts w:ascii="Century Gothic" w:hAnsi="Century Gothic"/>
          <w:b/>
        </w:rPr>
        <w:t xml:space="preserve">opis przedmiotu zamówienia </w:t>
      </w:r>
      <w:r>
        <w:rPr>
          <w:rFonts w:ascii="Century Gothic" w:hAnsi="Century Gothic"/>
          <w:b/>
        </w:rPr>
        <w:t>–</w:t>
      </w:r>
      <w:r w:rsidRPr="001A32C6">
        <w:rPr>
          <w:rFonts w:ascii="Century Gothic" w:hAnsi="Century Gothic"/>
          <w:b/>
        </w:rPr>
        <w:t xml:space="preserve"> </w:t>
      </w:r>
      <w:r>
        <w:rPr>
          <w:rFonts w:ascii="Century Gothic" w:hAnsi="Century Gothic"/>
          <w:b/>
        </w:rPr>
        <w:t xml:space="preserve">aparat rtg z ramieniem C – </w:t>
      </w:r>
      <w:r w:rsidR="001422F8">
        <w:rPr>
          <w:rFonts w:ascii="Century Gothic" w:hAnsi="Century Gothic"/>
          <w:b/>
        </w:rPr>
        <w:t>ogólnochirurgiczny</w:t>
      </w:r>
      <w:r>
        <w:rPr>
          <w:rFonts w:ascii="Century Gothic" w:hAnsi="Century Gothic"/>
          <w:b/>
        </w:rPr>
        <w:t xml:space="preserve"> </w:t>
      </w:r>
    </w:p>
    <w:p w:rsidR="00334A44" w:rsidRPr="00F838E8" w:rsidRDefault="00334A44" w:rsidP="00F838E8">
      <w:pPr>
        <w:spacing w:line="288" w:lineRule="auto"/>
        <w:jc w:val="center"/>
        <w:rPr>
          <w:rFonts w:ascii="Century Gothic" w:hAnsi="Century Gothic"/>
          <w:b/>
        </w:rPr>
      </w:pPr>
      <w:r>
        <w:rPr>
          <w:rFonts w:ascii="Century Gothic" w:hAnsi="Century Gothic"/>
          <w:b/>
        </w:rPr>
        <w:t>(</w:t>
      </w:r>
      <w:r w:rsidR="00D244A7">
        <w:rPr>
          <w:rFonts w:ascii="Century Gothic" w:hAnsi="Century Gothic"/>
          <w:b/>
        </w:rPr>
        <w:t>4 szt., aparat typ D</w:t>
      </w:r>
      <w:r>
        <w:rPr>
          <w:rFonts w:ascii="Century Gothic" w:hAnsi="Century Gothic"/>
          <w:b/>
        </w:rPr>
        <w:t>)</w:t>
      </w:r>
    </w:p>
    <w:p w:rsidR="00334A44" w:rsidRPr="001A32C6" w:rsidRDefault="00334A44" w:rsidP="00334A44">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dodatkowych elementów i akcesoriów.</w:t>
      </w:r>
    </w:p>
    <w:p w:rsidR="007E6649" w:rsidRPr="00735B3C" w:rsidRDefault="007E6649" w:rsidP="007E6649">
      <w:pPr>
        <w:pStyle w:val="Skrconyadreszwrotny"/>
        <w:widowControl/>
        <w:numPr>
          <w:ilvl w:val="0"/>
          <w:numId w:val="2"/>
        </w:numPr>
        <w:spacing w:line="288" w:lineRule="auto"/>
        <w:ind w:left="0"/>
        <w:jc w:val="both"/>
        <w:rPr>
          <w:rFonts w:ascii="Century Gothic" w:hAnsi="Century Gothic"/>
          <w:sz w:val="20"/>
        </w:rPr>
      </w:pPr>
      <w:r w:rsidRPr="00735B3C">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7E6649" w:rsidRPr="001A32C6" w:rsidRDefault="007E6649" w:rsidP="007E6649">
      <w:pPr>
        <w:pStyle w:val="Skrconyadreszwrotny"/>
        <w:widowControl/>
        <w:spacing w:line="288" w:lineRule="auto"/>
        <w:jc w:val="both"/>
        <w:rPr>
          <w:rFonts w:ascii="Century Gothic" w:hAnsi="Century Gothic"/>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9492"/>
      </w:tblGrid>
      <w:tr w:rsidR="007E6649" w:rsidRPr="001A32C6" w:rsidTr="00C30B08">
        <w:trPr>
          <w:trHeight w:val="652"/>
        </w:trPr>
        <w:tc>
          <w:tcPr>
            <w:tcW w:w="3936" w:type="dxa"/>
            <w:vAlign w:val="bottom"/>
          </w:tcPr>
          <w:p w:rsidR="007E6649" w:rsidRPr="001A32C6" w:rsidRDefault="007E6649"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Nazwa i typ:</w:t>
            </w:r>
          </w:p>
        </w:tc>
        <w:tc>
          <w:tcPr>
            <w:tcW w:w="9492" w:type="dxa"/>
            <w:vAlign w:val="bottom"/>
          </w:tcPr>
          <w:p w:rsidR="007E6649" w:rsidRPr="00A1346E" w:rsidRDefault="007E6649" w:rsidP="00C30B08">
            <w:pPr>
              <w:pStyle w:val="Podtytu"/>
              <w:spacing w:line="288" w:lineRule="auto"/>
              <w:rPr>
                <w:rFonts w:ascii="Century Gothic" w:hAnsi="Century Gothic"/>
                <w:i w:val="0"/>
                <w:color w:val="000000" w:themeColor="text1"/>
                <w:sz w:val="20"/>
                <w:szCs w:val="20"/>
              </w:rPr>
            </w:pPr>
          </w:p>
          <w:p w:rsidR="007E6649" w:rsidRPr="00A1346E" w:rsidRDefault="007E6649" w:rsidP="00C30B08">
            <w:pPr>
              <w:pStyle w:val="Podtytu"/>
              <w:spacing w:line="288" w:lineRule="auto"/>
              <w:rPr>
                <w:i w:val="0"/>
                <w:color w:val="000000" w:themeColor="text1"/>
              </w:rPr>
            </w:pPr>
            <w:r w:rsidRPr="00A1346E">
              <w:rPr>
                <w:i w:val="0"/>
                <w:color w:val="000000" w:themeColor="text1"/>
              </w:rPr>
              <w:t>……………………………………………………….</w:t>
            </w:r>
          </w:p>
        </w:tc>
      </w:tr>
      <w:tr w:rsidR="007E6649" w:rsidRPr="001A32C6" w:rsidTr="00C30B08">
        <w:trPr>
          <w:trHeight w:val="548"/>
        </w:trPr>
        <w:tc>
          <w:tcPr>
            <w:tcW w:w="3936" w:type="dxa"/>
            <w:vAlign w:val="bottom"/>
          </w:tcPr>
          <w:p w:rsidR="007E6649" w:rsidRPr="001A32C6" w:rsidRDefault="007E6649"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Producent:</w:t>
            </w:r>
          </w:p>
        </w:tc>
        <w:tc>
          <w:tcPr>
            <w:tcW w:w="9492" w:type="dxa"/>
            <w:vAlign w:val="bottom"/>
          </w:tcPr>
          <w:p w:rsidR="007E6649" w:rsidRPr="00A1346E" w:rsidRDefault="007E6649" w:rsidP="00C30B08">
            <w:pPr>
              <w:rPr>
                <w:color w:val="000000" w:themeColor="text1"/>
              </w:rPr>
            </w:pPr>
          </w:p>
          <w:p w:rsidR="007E6649" w:rsidRPr="00A1346E" w:rsidRDefault="007E6649" w:rsidP="00C30B08">
            <w:pPr>
              <w:pStyle w:val="Podtytu"/>
              <w:spacing w:line="288" w:lineRule="auto"/>
              <w:rPr>
                <w:i w:val="0"/>
                <w:color w:val="000000" w:themeColor="text1"/>
              </w:rPr>
            </w:pPr>
            <w:r w:rsidRPr="00A1346E">
              <w:rPr>
                <w:i w:val="0"/>
                <w:color w:val="000000" w:themeColor="text1"/>
              </w:rPr>
              <w:t>………………………………………………………..</w:t>
            </w:r>
          </w:p>
        </w:tc>
      </w:tr>
      <w:tr w:rsidR="007E6649" w:rsidRPr="001A32C6" w:rsidTr="00C30B08">
        <w:trPr>
          <w:trHeight w:val="429"/>
        </w:trPr>
        <w:tc>
          <w:tcPr>
            <w:tcW w:w="3936" w:type="dxa"/>
            <w:vAlign w:val="bottom"/>
          </w:tcPr>
          <w:p w:rsidR="007E6649" w:rsidRDefault="007E6649" w:rsidP="00C30B08">
            <w:pPr>
              <w:pStyle w:val="Podtytu"/>
              <w:spacing w:line="288" w:lineRule="auto"/>
              <w:rPr>
                <w:rFonts w:ascii="Century Gothic" w:hAnsi="Century Gothic"/>
                <w:b/>
                <w:i w:val="0"/>
                <w:color w:val="auto"/>
                <w:sz w:val="20"/>
                <w:szCs w:val="20"/>
              </w:rPr>
            </w:pPr>
          </w:p>
          <w:p w:rsidR="007E6649" w:rsidRPr="001A32C6" w:rsidRDefault="007E6649"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Kraj produkcji:</w:t>
            </w:r>
            <w:r>
              <w:rPr>
                <w:rFonts w:ascii="Century Gothic" w:hAnsi="Century Gothic"/>
                <w:b/>
                <w:i w:val="0"/>
                <w:color w:val="auto"/>
                <w:sz w:val="20"/>
                <w:szCs w:val="20"/>
              </w:rPr>
              <w:t xml:space="preserve">                                  </w:t>
            </w:r>
          </w:p>
        </w:tc>
        <w:tc>
          <w:tcPr>
            <w:tcW w:w="9492" w:type="dxa"/>
            <w:vAlign w:val="bottom"/>
          </w:tcPr>
          <w:p w:rsidR="007E6649" w:rsidRDefault="007E6649" w:rsidP="00C30B08">
            <w:pPr>
              <w:pStyle w:val="Podtytu"/>
              <w:spacing w:line="288" w:lineRule="auto"/>
              <w:rPr>
                <w:rFonts w:ascii="Century Gothic" w:hAnsi="Century Gothic"/>
                <w:i w:val="0"/>
                <w:color w:val="auto"/>
                <w:sz w:val="20"/>
                <w:szCs w:val="20"/>
              </w:rPr>
            </w:pPr>
          </w:p>
          <w:p w:rsidR="007E6649" w:rsidRPr="001A32C6" w:rsidRDefault="007E6649" w:rsidP="00C30B08">
            <w:pPr>
              <w:pStyle w:val="Podtytu"/>
              <w:spacing w:line="288" w:lineRule="auto"/>
              <w:rPr>
                <w:rFonts w:ascii="Century Gothic" w:hAnsi="Century Gothic"/>
                <w:i w:val="0"/>
                <w:color w:val="auto"/>
                <w:sz w:val="20"/>
                <w:szCs w:val="20"/>
              </w:rPr>
            </w:pPr>
            <w:r>
              <w:rPr>
                <w:rFonts w:ascii="Century Gothic" w:hAnsi="Century Gothic"/>
                <w:i w:val="0"/>
                <w:color w:val="auto"/>
                <w:sz w:val="20"/>
                <w:szCs w:val="20"/>
              </w:rPr>
              <w:t>……………………………………………………</w:t>
            </w:r>
          </w:p>
        </w:tc>
      </w:tr>
      <w:tr w:rsidR="007E6649" w:rsidRPr="001A32C6" w:rsidTr="00C30B08">
        <w:trPr>
          <w:trHeight w:val="549"/>
        </w:trPr>
        <w:tc>
          <w:tcPr>
            <w:tcW w:w="3936" w:type="dxa"/>
            <w:vAlign w:val="bottom"/>
          </w:tcPr>
          <w:p w:rsidR="007E6649" w:rsidRPr="001A32C6" w:rsidRDefault="007E6649"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lastRenderedPageBreak/>
              <w:t>Rok produkcji:</w:t>
            </w:r>
          </w:p>
        </w:tc>
        <w:tc>
          <w:tcPr>
            <w:tcW w:w="9492" w:type="dxa"/>
            <w:vAlign w:val="bottom"/>
          </w:tcPr>
          <w:p w:rsidR="007E6649" w:rsidRDefault="007E6649" w:rsidP="00C30B08">
            <w:pPr>
              <w:pStyle w:val="Podtytu"/>
              <w:spacing w:line="288" w:lineRule="auto"/>
              <w:rPr>
                <w:rFonts w:ascii="Century Gothic" w:hAnsi="Century Gothic"/>
                <w:i w:val="0"/>
                <w:color w:val="auto"/>
                <w:sz w:val="20"/>
                <w:szCs w:val="20"/>
              </w:rPr>
            </w:pPr>
          </w:p>
          <w:p w:rsidR="007E6649" w:rsidRPr="00A1346E" w:rsidRDefault="007E6649" w:rsidP="00C30B08"/>
          <w:p w:rsidR="007E6649" w:rsidRPr="001A32C6" w:rsidRDefault="007E6649" w:rsidP="00C30B08">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7E6649" w:rsidRPr="001A32C6" w:rsidTr="00C30B08">
        <w:trPr>
          <w:trHeight w:val="629"/>
        </w:trPr>
        <w:tc>
          <w:tcPr>
            <w:tcW w:w="3936" w:type="dxa"/>
            <w:vAlign w:val="bottom"/>
          </w:tcPr>
          <w:p w:rsidR="007E6649" w:rsidRPr="001A32C6" w:rsidRDefault="007E6649"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Klasa wyrobu medycznego</w:t>
            </w:r>
            <w:r>
              <w:rPr>
                <w:rFonts w:ascii="Century Gothic" w:hAnsi="Century Gothic"/>
                <w:b/>
                <w:i w:val="0"/>
                <w:color w:val="auto"/>
                <w:sz w:val="20"/>
                <w:szCs w:val="20"/>
              </w:rPr>
              <w:t>:</w:t>
            </w:r>
          </w:p>
        </w:tc>
        <w:tc>
          <w:tcPr>
            <w:tcW w:w="9492" w:type="dxa"/>
            <w:vAlign w:val="bottom"/>
          </w:tcPr>
          <w:p w:rsidR="007E6649" w:rsidRDefault="007E6649" w:rsidP="00C30B08">
            <w:pPr>
              <w:pStyle w:val="Podtytu"/>
              <w:spacing w:line="288" w:lineRule="auto"/>
              <w:rPr>
                <w:rFonts w:ascii="Century Gothic" w:hAnsi="Century Gothic"/>
                <w:i w:val="0"/>
                <w:color w:val="auto"/>
                <w:sz w:val="20"/>
                <w:szCs w:val="20"/>
              </w:rPr>
            </w:pPr>
          </w:p>
          <w:p w:rsidR="007E6649" w:rsidRPr="00A1346E" w:rsidRDefault="007E6649" w:rsidP="00C30B08"/>
          <w:p w:rsidR="007E6649" w:rsidRPr="001A32C6" w:rsidRDefault="007E6649" w:rsidP="00C30B08">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bl>
    <w:p w:rsidR="00334A44" w:rsidRDefault="00334A44"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Default="007E6649" w:rsidP="00334A44">
      <w:pPr>
        <w:spacing w:line="288" w:lineRule="auto"/>
        <w:jc w:val="center"/>
        <w:rPr>
          <w:rFonts w:ascii="Century Gothic" w:hAnsi="Century Gothic"/>
          <w:b/>
        </w:rPr>
      </w:pPr>
    </w:p>
    <w:p w:rsidR="007E6649" w:rsidRPr="001A32C6" w:rsidRDefault="007E6649" w:rsidP="00334A44">
      <w:pPr>
        <w:spacing w:line="288" w:lineRule="auto"/>
        <w:jc w:val="cente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31"/>
        <w:gridCol w:w="3631"/>
        <w:gridCol w:w="5222"/>
      </w:tblGrid>
      <w:tr w:rsidR="00F838E8" w:rsidRPr="007423C0" w:rsidTr="00C30B08">
        <w:trPr>
          <w:trHeight w:val="623"/>
        </w:trPr>
        <w:tc>
          <w:tcPr>
            <w:tcW w:w="3510" w:type="dxa"/>
            <w:tcBorders>
              <w:bottom w:val="single" w:sz="4" w:space="0" w:color="auto"/>
            </w:tcBorders>
            <w:shd w:val="clear" w:color="auto" w:fill="F2F2F2"/>
            <w:vAlign w:val="center"/>
          </w:tcPr>
          <w:p w:rsidR="00F838E8" w:rsidRPr="007423C0" w:rsidRDefault="00F838E8" w:rsidP="00C30B08">
            <w:pPr>
              <w:spacing w:after="0" w:line="240" w:lineRule="auto"/>
              <w:rPr>
                <w:rFonts w:ascii="Garamond" w:eastAsia="Times New Roman" w:hAnsi="Garamond" w:cs="Times New Roman"/>
                <w:kern w:val="2"/>
              </w:rPr>
            </w:pPr>
            <w:r w:rsidRPr="007423C0">
              <w:rPr>
                <w:rFonts w:ascii="Garamond" w:eastAsia="Times New Roman" w:hAnsi="Garamond" w:cs="Arial"/>
                <w:b/>
                <w:bCs/>
                <w:kern w:val="2"/>
              </w:rPr>
              <w:lastRenderedPageBreak/>
              <w:br w:type="page"/>
            </w:r>
            <w:r w:rsidRPr="007423C0">
              <w:rPr>
                <w:rFonts w:ascii="Garamond" w:eastAsia="Times New Roman" w:hAnsi="Garamond" w:cs="Times New Roman"/>
                <w:kern w:val="2"/>
              </w:rPr>
              <w:t>Przedmiot</w:t>
            </w:r>
          </w:p>
        </w:tc>
        <w:tc>
          <w:tcPr>
            <w:tcW w:w="1631" w:type="dxa"/>
            <w:tcBorders>
              <w:bottom w:val="single" w:sz="4" w:space="0" w:color="auto"/>
              <w:right w:val="single" w:sz="4" w:space="0" w:color="auto"/>
            </w:tcBorders>
            <w:shd w:val="clear" w:color="auto" w:fill="F2F2F2"/>
            <w:vAlign w:val="center"/>
          </w:tcPr>
          <w:p w:rsidR="00F838E8" w:rsidRPr="007423C0" w:rsidRDefault="00F838E8" w:rsidP="00C30B08">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F838E8" w:rsidRPr="007423C0" w:rsidRDefault="00F838E8" w:rsidP="00C30B08">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F838E8" w:rsidRPr="007423C0" w:rsidRDefault="00F838E8" w:rsidP="00C30B08">
            <w:pPr>
              <w:spacing w:after="0" w:line="240" w:lineRule="auto"/>
              <w:rPr>
                <w:rFonts w:ascii="Garamond" w:eastAsia="Times New Roman" w:hAnsi="Garamond" w:cs="Times New Roman"/>
                <w:kern w:val="2"/>
              </w:rPr>
            </w:pPr>
            <w:r w:rsidRPr="007423C0">
              <w:rPr>
                <w:rFonts w:ascii="Garamond" w:eastAsia="Times New Roman" w:hAnsi="Garamond" w:cs="Times New Roman"/>
                <w:b/>
                <w:kern w:val="2"/>
              </w:rPr>
              <w:t>A:</w:t>
            </w:r>
            <w:r w:rsidRPr="007423C0">
              <w:rPr>
                <w:rFonts w:ascii="Garamond" w:eastAsia="Times New Roman" w:hAnsi="Garamond" w:cs="Times New Roman"/>
                <w:kern w:val="2"/>
              </w:rPr>
              <w:t xml:space="preserve"> Cena brutto sprzętu wraz z dostawą (w zł):</w:t>
            </w:r>
          </w:p>
        </w:tc>
      </w:tr>
      <w:tr w:rsidR="00F838E8" w:rsidRPr="007423C0" w:rsidTr="00C30B08">
        <w:trPr>
          <w:trHeight w:val="575"/>
        </w:trPr>
        <w:tc>
          <w:tcPr>
            <w:tcW w:w="3510" w:type="dxa"/>
            <w:tcBorders>
              <w:bottom w:val="single" w:sz="4" w:space="0" w:color="auto"/>
            </w:tcBorders>
            <w:shd w:val="clear" w:color="auto" w:fill="F2F2F2"/>
            <w:vAlign w:val="center"/>
          </w:tcPr>
          <w:p w:rsidR="00F838E8" w:rsidRPr="007423C0" w:rsidRDefault="00F838E8" w:rsidP="00C30B08">
            <w:pPr>
              <w:spacing w:after="0" w:line="240" w:lineRule="auto"/>
              <w:rPr>
                <w:rFonts w:ascii="Garamond" w:eastAsia="Times New Roman" w:hAnsi="Garamond" w:cs="Times New Roman"/>
                <w:b/>
                <w:color w:val="000000"/>
                <w:kern w:val="2"/>
              </w:rPr>
            </w:pPr>
            <w:r>
              <w:rPr>
                <w:rFonts w:ascii="Garamond" w:eastAsia="Times New Roman" w:hAnsi="Garamond" w:cs="Times New Roman"/>
                <w:b/>
                <w:color w:val="000000"/>
                <w:kern w:val="2"/>
              </w:rPr>
              <w:t xml:space="preserve">Aparat RTG z ramieniem C – ogólnochirurgiczny – typ D </w:t>
            </w:r>
          </w:p>
        </w:tc>
        <w:tc>
          <w:tcPr>
            <w:tcW w:w="1631" w:type="dxa"/>
            <w:tcBorders>
              <w:right w:val="single" w:sz="4" w:space="0" w:color="auto"/>
            </w:tcBorders>
            <w:shd w:val="clear" w:color="auto" w:fill="F2F2F2"/>
            <w:vAlign w:val="center"/>
          </w:tcPr>
          <w:p w:rsidR="00F838E8" w:rsidRPr="007423C0" w:rsidRDefault="00F838E8" w:rsidP="00C30B08">
            <w:pPr>
              <w:spacing w:after="0" w:line="240" w:lineRule="auto"/>
              <w:jc w:val="center"/>
              <w:rPr>
                <w:rFonts w:ascii="Garamond" w:eastAsia="Times New Roman" w:hAnsi="Garamond" w:cs="Times New Roman"/>
                <w:color w:val="000000"/>
                <w:kern w:val="2"/>
              </w:rPr>
            </w:pPr>
            <w:r>
              <w:rPr>
                <w:rFonts w:ascii="Garamond" w:eastAsia="Times New Roman" w:hAnsi="Garamond" w:cs="Times New Roman"/>
                <w:color w:val="000000"/>
                <w:kern w:val="2"/>
              </w:rPr>
              <w:t>4</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F838E8" w:rsidRPr="007423C0" w:rsidRDefault="00F838E8" w:rsidP="00C30B08">
            <w:pPr>
              <w:spacing w:after="0" w:line="240" w:lineRule="auto"/>
              <w:rPr>
                <w:rFonts w:ascii="Garamond" w:hAnsi="Garamond" w:cs="Times New Roman"/>
                <w:kern w:val="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F838E8" w:rsidRPr="007423C0" w:rsidRDefault="00F838E8" w:rsidP="00C30B08">
            <w:pPr>
              <w:spacing w:after="0" w:line="240" w:lineRule="auto"/>
              <w:rPr>
                <w:rFonts w:ascii="Garamond" w:hAnsi="Garamond" w:cs="Times New Roman"/>
                <w:kern w:val="2"/>
                <w:lang w:eastAsia="en-US"/>
              </w:rPr>
            </w:pPr>
          </w:p>
        </w:tc>
      </w:tr>
    </w:tbl>
    <w:p w:rsidR="00F838E8" w:rsidRPr="007423C0" w:rsidRDefault="00F838E8" w:rsidP="00F838E8">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F838E8" w:rsidRPr="007423C0" w:rsidTr="00C30B08">
        <w:trPr>
          <w:trHeight w:val="70"/>
          <w:jc w:val="right"/>
        </w:trPr>
        <w:tc>
          <w:tcPr>
            <w:tcW w:w="709" w:type="dxa"/>
            <w:tcBorders>
              <w:top w:val="nil"/>
              <w:left w:val="nil"/>
              <w:bottom w:val="nil"/>
              <w:right w:val="nil"/>
            </w:tcBorders>
            <w:shd w:val="clear" w:color="auto" w:fill="auto"/>
          </w:tcPr>
          <w:p w:rsidR="00F838E8" w:rsidRPr="007423C0" w:rsidRDefault="00F838E8" w:rsidP="00C30B08">
            <w:pPr>
              <w:spacing w:after="0" w:line="240" w:lineRule="auto"/>
              <w:rPr>
                <w:rFonts w:ascii="Garamond" w:hAnsi="Garamond" w:cs="Times New Roman"/>
                <w:kern w:val="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F838E8" w:rsidRPr="007423C0" w:rsidRDefault="00F838E8" w:rsidP="00C30B08">
            <w:pPr>
              <w:spacing w:after="0" w:line="240" w:lineRule="auto"/>
              <w:rPr>
                <w:rFonts w:ascii="Garamond" w:hAnsi="Garamond" w:cs="Times New Roman"/>
                <w:kern w:val="2"/>
                <w:lang w:eastAsia="en-US"/>
              </w:rPr>
            </w:pPr>
            <w:r w:rsidRPr="007423C0">
              <w:rPr>
                <w:rFonts w:ascii="Garamond" w:hAnsi="Garamond" w:cs="Times New Roman"/>
                <w:b/>
                <w:kern w:val="2"/>
                <w:lang w:eastAsia="en-US"/>
              </w:rPr>
              <w:t>B:</w:t>
            </w:r>
            <w:r w:rsidRPr="007423C0">
              <w:rPr>
                <w:rFonts w:ascii="Garamond" w:hAnsi="Garamond" w:cs="Times New Roman"/>
                <w:kern w:val="2"/>
                <w:lang w:eastAsia="en-US"/>
              </w:rPr>
              <w:t xml:space="preserve"> Cena brutto</w:t>
            </w:r>
            <w:r w:rsidRPr="007423C0">
              <w:rPr>
                <w:rFonts w:ascii="Garamond" w:eastAsia="Times New Roman" w:hAnsi="Garamond" w:cs="Times New Roman"/>
                <w:bCs/>
                <w:color w:val="000000"/>
                <w:kern w:val="2"/>
              </w:rPr>
              <w:t xml:space="preserve"> instal</w:t>
            </w:r>
            <w:r w:rsidRPr="007423C0">
              <w:rPr>
                <w:rFonts w:ascii="Garamond" w:hAnsi="Garamond" w:cs="Times New Roman"/>
                <w:kern w:val="2"/>
                <w:lang w:eastAsia="en-US"/>
              </w:rPr>
              <w:t>acji, uruchomienia w Nowej siedziby Szpitala (w zł):</w:t>
            </w:r>
          </w:p>
        </w:tc>
      </w:tr>
      <w:tr w:rsidR="00F838E8" w:rsidRPr="007423C0" w:rsidTr="00C30B08">
        <w:trPr>
          <w:trHeight w:val="751"/>
          <w:jc w:val="right"/>
        </w:trPr>
        <w:tc>
          <w:tcPr>
            <w:tcW w:w="709" w:type="dxa"/>
            <w:tcBorders>
              <w:top w:val="nil"/>
              <w:left w:val="nil"/>
              <w:bottom w:val="nil"/>
              <w:right w:val="nil"/>
            </w:tcBorders>
            <w:shd w:val="clear" w:color="auto" w:fill="auto"/>
          </w:tcPr>
          <w:p w:rsidR="00F838E8" w:rsidRPr="007423C0" w:rsidRDefault="00F838E8" w:rsidP="00C30B08">
            <w:pPr>
              <w:spacing w:after="0" w:line="240" w:lineRule="auto"/>
              <w:rPr>
                <w:rFonts w:ascii="Garamond" w:hAnsi="Garamond" w:cs="Times New Roman"/>
                <w:kern w:val="2"/>
                <w:lang w:eastAsia="en-US"/>
              </w:rPr>
            </w:pPr>
          </w:p>
        </w:tc>
        <w:tc>
          <w:tcPr>
            <w:tcW w:w="5199" w:type="dxa"/>
            <w:tcBorders>
              <w:left w:val="single" w:sz="4" w:space="0" w:color="auto"/>
            </w:tcBorders>
            <w:shd w:val="clear" w:color="auto" w:fill="auto"/>
            <w:vAlign w:val="center"/>
          </w:tcPr>
          <w:p w:rsidR="00F838E8" w:rsidRPr="007423C0" w:rsidRDefault="00F838E8" w:rsidP="00C30B08">
            <w:pPr>
              <w:spacing w:after="0" w:line="240" w:lineRule="auto"/>
              <w:rPr>
                <w:rFonts w:ascii="Garamond" w:hAnsi="Garamond" w:cs="Times New Roman"/>
                <w:kern w:val="2"/>
                <w:lang w:eastAsia="en-US"/>
              </w:rPr>
            </w:pPr>
          </w:p>
        </w:tc>
      </w:tr>
    </w:tbl>
    <w:p w:rsidR="00F838E8" w:rsidRPr="007423C0" w:rsidRDefault="00F838E8" w:rsidP="00F838E8">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F838E8" w:rsidRPr="007423C0" w:rsidTr="00C30B08">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F838E8" w:rsidRPr="007423C0" w:rsidRDefault="00F838E8" w:rsidP="00C30B08">
            <w:pPr>
              <w:spacing w:after="0" w:line="240" w:lineRule="auto"/>
              <w:rPr>
                <w:rFonts w:ascii="Garamond" w:hAnsi="Garamond" w:cs="Times New Roman"/>
                <w:kern w:val="2"/>
                <w:lang w:eastAsia="en-US"/>
              </w:rPr>
            </w:pPr>
            <w:r w:rsidRPr="007423C0">
              <w:rPr>
                <w:rFonts w:ascii="Garamond" w:hAnsi="Garamond" w:cs="Times New Roman"/>
                <w:b/>
                <w:kern w:val="2"/>
                <w:lang w:eastAsia="en-US"/>
              </w:rPr>
              <w:t xml:space="preserve">C: </w:t>
            </w:r>
            <w:r w:rsidRPr="007423C0">
              <w:rPr>
                <w:rFonts w:ascii="Garamond" w:eastAsia="Times New Roman" w:hAnsi="Garamond" w:cs="Times New Roman"/>
                <w:kern w:val="2"/>
              </w:rPr>
              <w:t>Cena brutto szkoleń w nowej siedzibie Szpitala Uniwersyteckiego</w:t>
            </w:r>
            <w:r w:rsidRPr="007423C0">
              <w:rPr>
                <w:rFonts w:ascii="Garamond" w:hAnsi="Garamond" w:cs="Times New Roman"/>
                <w:kern w:val="2"/>
                <w:lang w:eastAsia="en-US"/>
              </w:rPr>
              <w:t xml:space="preserve"> (w zł):</w:t>
            </w:r>
          </w:p>
        </w:tc>
      </w:tr>
      <w:tr w:rsidR="00F838E8" w:rsidRPr="007423C0" w:rsidTr="00C30B08">
        <w:trPr>
          <w:trHeight w:val="631"/>
          <w:jc w:val="right"/>
        </w:trPr>
        <w:tc>
          <w:tcPr>
            <w:tcW w:w="5186" w:type="dxa"/>
            <w:tcBorders>
              <w:left w:val="single" w:sz="4" w:space="0" w:color="auto"/>
            </w:tcBorders>
            <w:shd w:val="clear" w:color="auto" w:fill="auto"/>
            <w:vAlign w:val="center"/>
          </w:tcPr>
          <w:p w:rsidR="00F838E8" w:rsidRPr="007423C0" w:rsidRDefault="00F838E8" w:rsidP="00C30B08">
            <w:pPr>
              <w:spacing w:after="0" w:line="240" w:lineRule="auto"/>
              <w:rPr>
                <w:rFonts w:ascii="Garamond" w:hAnsi="Garamond" w:cs="Times New Roman"/>
                <w:kern w:val="2"/>
                <w:lang w:eastAsia="en-US"/>
              </w:rPr>
            </w:pPr>
          </w:p>
        </w:tc>
      </w:tr>
    </w:tbl>
    <w:p w:rsidR="00F838E8" w:rsidRPr="007423C0" w:rsidRDefault="00F838E8" w:rsidP="00F838E8">
      <w:pPr>
        <w:spacing w:after="0" w:line="240" w:lineRule="auto"/>
        <w:rPr>
          <w:rFonts w:ascii="Times New Roman" w:eastAsia="Times New Roman" w:hAnsi="Times New Roman" w:cs="Times New Roman"/>
          <w:vanish/>
          <w:kern w:val="2"/>
          <w:sz w:val="24"/>
          <w:szCs w:val="24"/>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F838E8" w:rsidRPr="007423C0" w:rsidTr="00C30B08">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F838E8" w:rsidRPr="007423C0" w:rsidRDefault="00F838E8" w:rsidP="00C30B08">
            <w:pPr>
              <w:snapToGrid w:val="0"/>
              <w:spacing w:after="0" w:line="240" w:lineRule="auto"/>
              <w:jc w:val="center"/>
              <w:rPr>
                <w:rFonts w:ascii="Garamond" w:eastAsia="Times New Roman" w:hAnsi="Garamond" w:cs="Times New Roman"/>
                <w:bCs/>
                <w:kern w:val="2"/>
              </w:rPr>
            </w:pPr>
            <w:r w:rsidRPr="007423C0">
              <w:rPr>
                <w:rFonts w:ascii="Garamond" w:eastAsia="Times New Roman" w:hAnsi="Garamond" w:cs="Times New Roman"/>
                <w:b/>
                <w:bCs/>
                <w:kern w:val="2"/>
              </w:rPr>
              <w:t>A+ B + C</w:t>
            </w:r>
            <w:r w:rsidRPr="007423C0">
              <w:rPr>
                <w:rFonts w:ascii="Garamond" w:eastAsia="Times New Roman" w:hAnsi="Garamond" w:cs="Times New Roman"/>
                <w:bCs/>
                <w:kern w:val="2"/>
              </w:rPr>
              <w:t xml:space="preserve">: Cena brutto oferty </w:t>
            </w:r>
            <w:r w:rsidRPr="007423C0">
              <w:rPr>
                <w:rFonts w:ascii="Garamond" w:eastAsia="Times New Roman" w:hAnsi="Garamond" w:cs="Times New Roman"/>
                <w:kern w:val="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F838E8" w:rsidRPr="007423C0" w:rsidRDefault="00F838E8" w:rsidP="00C30B08">
            <w:pPr>
              <w:snapToGrid w:val="0"/>
              <w:spacing w:after="0" w:line="240" w:lineRule="auto"/>
              <w:rPr>
                <w:rFonts w:ascii="Garamond" w:eastAsia="Times New Roman" w:hAnsi="Garamond" w:cs="Times New Roman"/>
                <w:bCs/>
                <w:kern w:val="2"/>
              </w:rPr>
            </w:pPr>
          </w:p>
        </w:tc>
      </w:tr>
    </w:tbl>
    <w:p w:rsidR="00334A44" w:rsidRPr="001A32C6" w:rsidRDefault="00334A44" w:rsidP="00334A44">
      <w:pPr>
        <w:spacing w:line="288" w:lineRule="auto"/>
        <w:rPr>
          <w:rFonts w:ascii="Century Gothic" w:eastAsia="Times New Roman" w:hAnsi="Century Gothic" w:cs="Arial"/>
          <w:b/>
          <w:bCs/>
          <w:sz w:val="16"/>
          <w:szCs w:val="16"/>
        </w:rPr>
      </w:pPr>
    </w:p>
    <w:p w:rsidR="00F838E8" w:rsidRDefault="00F838E8" w:rsidP="0074745B">
      <w:pPr>
        <w:spacing w:line="288" w:lineRule="auto"/>
        <w:rPr>
          <w:rFonts w:ascii="Century Gothic" w:hAnsi="Century Gothic" w:cs="Arial"/>
          <w:b/>
          <w:bCs/>
          <w:sz w:val="20"/>
          <w:u w:val="single"/>
        </w:rPr>
      </w:pPr>
    </w:p>
    <w:p w:rsidR="00F838E8" w:rsidRDefault="00F838E8" w:rsidP="0074745B">
      <w:pPr>
        <w:spacing w:line="288" w:lineRule="auto"/>
        <w:rPr>
          <w:rFonts w:ascii="Century Gothic" w:hAnsi="Century Gothic" w:cs="Arial"/>
          <w:b/>
          <w:bCs/>
          <w:sz w:val="20"/>
          <w:u w:val="single"/>
        </w:rPr>
      </w:pPr>
    </w:p>
    <w:p w:rsidR="00F838E8" w:rsidRDefault="00F838E8" w:rsidP="0074745B">
      <w:pPr>
        <w:spacing w:line="288" w:lineRule="auto"/>
        <w:rPr>
          <w:rFonts w:ascii="Century Gothic" w:hAnsi="Century Gothic" w:cs="Arial"/>
          <w:b/>
          <w:bCs/>
          <w:sz w:val="20"/>
          <w:u w:val="single"/>
        </w:rPr>
      </w:pPr>
    </w:p>
    <w:p w:rsidR="00F838E8" w:rsidRDefault="00F838E8" w:rsidP="0074745B">
      <w:pPr>
        <w:spacing w:line="288" w:lineRule="auto"/>
        <w:rPr>
          <w:rFonts w:ascii="Century Gothic" w:hAnsi="Century Gothic" w:cs="Arial"/>
          <w:b/>
          <w:bCs/>
          <w:sz w:val="20"/>
          <w:u w:val="single"/>
        </w:rPr>
      </w:pPr>
    </w:p>
    <w:p w:rsidR="00F838E8" w:rsidRDefault="00F838E8" w:rsidP="0074745B">
      <w:pPr>
        <w:spacing w:line="288" w:lineRule="auto"/>
        <w:rPr>
          <w:rFonts w:ascii="Century Gothic" w:hAnsi="Century Gothic" w:cs="Arial"/>
          <w:b/>
          <w:bCs/>
          <w:sz w:val="20"/>
          <w:u w:val="single"/>
        </w:rPr>
      </w:pPr>
    </w:p>
    <w:p w:rsidR="00F838E8" w:rsidRDefault="00F838E8" w:rsidP="0074745B">
      <w:pPr>
        <w:spacing w:line="288" w:lineRule="auto"/>
        <w:rPr>
          <w:rFonts w:ascii="Century Gothic" w:hAnsi="Century Gothic" w:cs="Arial"/>
          <w:b/>
          <w:bCs/>
          <w:sz w:val="20"/>
          <w:u w:val="single"/>
        </w:rPr>
      </w:pPr>
    </w:p>
    <w:p w:rsidR="00F838E8" w:rsidRDefault="00F838E8" w:rsidP="0074745B">
      <w:pPr>
        <w:spacing w:line="288" w:lineRule="auto"/>
        <w:rPr>
          <w:rFonts w:ascii="Century Gothic" w:hAnsi="Century Gothic" w:cs="Arial"/>
          <w:b/>
          <w:bCs/>
          <w:sz w:val="20"/>
          <w:u w:val="single"/>
        </w:rPr>
      </w:pPr>
    </w:p>
    <w:p w:rsidR="0074745B" w:rsidRPr="00F838E8" w:rsidRDefault="0074745B" w:rsidP="0074745B">
      <w:pPr>
        <w:spacing w:line="288" w:lineRule="auto"/>
        <w:rPr>
          <w:rFonts w:ascii="Century Gothic" w:hAnsi="Century Gothic" w:cs="Arial"/>
          <w:b/>
          <w:bCs/>
          <w:sz w:val="20"/>
          <w:u w:val="single"/>
        </w:rPr>
      </w:pPr>
      <w:r w:rsidRPr="00F838E8">
        <w:rPr>
          <w:rFonts w:ascii="Century Gothic" w:hAnsi="Century Gothic" w:cs="Arial"/>
          <w:b/>
          <w:bCs/>
          <w:sz w:val="20"/>
          <w:u w:val="single"/>
        </w:rPr>
        <w:lastRenderedPageBreak/>
        <w:t>PRZEZNACZENIE / NAZEWNICTWO</w:t>
      </w:r>
    </w:p>
    <w:p w:rsidR="0074745B" w:rsidRDefault="0074745B" w:rsidP="0074745B">
      <w:pPr>
        <w:spacing w:line="288" w:lineRule="auto"/>
        <w:rPr>
          <w:rFonts w:ascii="Century Gothic" w:hAnsi="Century Gothic" w:cs="Arial"/>
          <w:b/>
          <w:bCs/>
          <w:sz w:val="20"/>
        </w:rPr>
      </w:pPr>
      <w:r w:rsidRPr="00F838E8">
        <w:rPr>
          <w:rFonts w:ascii="Century Gothic" w:hAnsi="Century Gothic" w:cs="Arial"/>
          <w:b/>
          <w:bCs/>
          <w:sz w:val="20"/>
        </w:rPr>
        <w:t>uwaga przy wystawianiu dokumentów finansowo-księgowych, protokołów przekazania, itp. obowiązuje nazewnictwo jak w poniższej tabeli</w:t>
      </w:r>
    </w:p>
    <w:p w:rsidR="00F838E8" w:rsidRPr="00F838E8" w:rsidRDefault="00F838E8" w:rsidP="0074745B">
      <w:pPr>
        <w:spacing w:line="288" w:lineRule="auto"/>
        <w:rPr>
          <w:rFonts w:ascii="Century Gothic" w:hAnsi="Century Gothic" w:cs="Arial"/>
          <w:b/>
          <w:bCs/>
          <w:sz w:val="20"/>
        </w:rPr>
      </w:pPr>
    </w:p>
    <w:tbl>
      <w:tblPr>
        <w:tblW w:w="12763" w:type="dxa"/>
        <w:tblInd w:w="65" w:type="dxa"/>
        <w:tblLayout w:type="fixed"/>
        <w:tblCellMar>
          <w:left w:w="70" w:type="dxa"/>
          <w:right w:w="70" w:type="dxa"/>
        </w:tblCellMar>
        <w:tblLook w:val="04A0" w:firstRow="1" w:lastRow="0" w:firstColumn="1" w:lastColumn="0" w:noHBand="0" w:noVBand="1"/>
      </w:tblPr>
      <w:tblGrid>
        <w:gridCol w:w="2197"/>
        <w:gridCol w:w="1917"/>
        <w:gridCol w:w="2835"/>
        <w:gridCol w:w="851"/>
        <w:gridCol w:w="4963"/>
      </w:tblGrid>
      <w:tr w:rsidR="0074745B" w:rsidRPr="00F838E8" w:rsidTr="00675978">
        <w:trPr>
          <w:trHeight w:val="600"/>
        </w:trPr>
        <w:tc>
          <w:tcPr>
            <w:tcW w:w="2197" w:type="dxa"/>
            <w:tcBorders>
              <w:top w:val="single" w:sz="4" w:space="0" w:color="auto"/>
              <w:left w:val="single" w:sz="4" w:space="0" w:color="auto"/>
              <w:bottom w:val="single" w:sz="4" w:space="0" w:color="auto"/>
              <w:right w:val="single" w:sz="4" w:space="0" w:color="auto"/>
            </w:tcBorders>
            <w:vAlign w:val="center"/>
            <w:hideMark/>
          </w:tcPr>
          <w:p w:rsidR="0074745B" w:rsidRPr="00F838E8" w:rsidRDefault="00F838E8" w:rsidP="00F838E8">
            <w:pPr>
              <w:autoSpaceDE w:val="0"/>
              <w:spacing w:line="256" w:lineRule="auto"/>
              <w:jc w:val="center"/>
              <w:rPr>
                <w:rFonts w:ascii="Century Gothic" w:eastAsia="Times New Roman" w:hAnsi="Century Gothic"/>
                <w:sz w:val="18"/>
                <w:szCs w:val="18"/>
              </w:rPr>
            </w:pPr>
            <w:r>
              <w:rPr>
                <w:rFonts w:ascii="Century Gothic" w:hAnsi="Century Gothic"/>
                <w:sz w:val="18"/>
                <w:szCs w:val="18"/>
              </w:rPr>
              <w:t>O</w:t>
            </w:r>
            <w:r w:rsidR="0074745B" w:rsidRPr="00F838E8">
              <w:rPr>
                <w:rFonts w:ascii="Century Gothic" w:hAnsi="Century Gothic"/>
                <w:sz w:val="18"/>
                <w:szCs w:val="18"/>
              </w:rPr>
              <w:t>bszar</w:t>
            </w:r>
          </w:p>
        </w:tc>
        <w:tc>
          <w:tcPr>
            <w:tcW w:w="1917" w:type="dxa"/>
            <w:tcBorders>
              <w:top w:val="single" w:sz="4" w:space="0" w:color="auto"/>
              <w:left w:val="nil"/>
              <w:bottom w:val="single" w:sz="4" w:space="0" w:color="auto"/>
              <w:right w:val="single" w:sz="4" w:space="0" w:color="auto"/>
            </w:tcBorders>
            <w:vAlign w:val="center"/>
            <w:hideMark/>
          </w:tcPr>
          <w:p w:rsidR="0074745B" w:rsidRPr="00F838E8" w:rsidRDefault="00F838E8" w:rsidP="00F838E8">
            <w:pPr>
              <w:autoSpaceDE w:val="0"/>
              <w:spacing w:line="256" w:lineRule="auto"/>
              <w:jc w:val="center"/>
              <w:rPr>
                <w:rFonts w:ascii="Century Gothic" w:eastAsia="Times New Roman" w:hAnsi="Century Gothic"/>
                <w:sz w:val="18"/>
                <w:szCs w:val="18"/>
              </w:rPr>
            </w:pPr>
            <w:r>
              <w:rPr>
                <w:rFonts w:ascii="Century Gothic" w:hAnsi="Century Gothic"/>
                <w:sz w:val="18"/>
                <w:szCs w:val="18"/>
              </w:rPr>
              <w:t>P</w:t>
            </w:r>
            <w:r w:rsidR="0074745B" w:rsidRPr="00F838E8">
              <w:rPr>
                <w:rFonts w:ascii="Century Gothic" w:hAnsi="Century Gothic"/>
                <w:sz w:val="18"/>
                <w:szCs w:val="18"/>
              </w:rPr>
              <w:t>omieszczenie</w:t>
            </w:r>
          </w:p>
        </w:tc>
        <w:tc>
          <w:tcPr>
            <w:tcW w:w="2835" w:type="dxa"/>
            <w:tcBorders>
              <w:top w:val="single" w:sz="4" w:space="0" w:color="auto"/>
              <w:left w:val="nil"/>
              <w:bottom w:val="single" w:sz="4" w:space="0" w:color="auto"/>
              <w:right w:val="single" w:sz="4" w:space="0" w:color="auto"/>
            </w:tcBorders>
            <w:vAlign w:val="center"/>
            <w:hideMark/>
          </w:tcPr>
          <w:p w:rsidR="0074745B" w:rsidRPr="00F838E8" w:rsidRDefault="0074745B" w:rsidP="00F838E8">
            <w:pPr>
              <w:autoSpaceDE w:val="0"/>
              <w:spacing w:line="256" w:lineRule="auto"/>
              <w:jc w:val="center"/>
              <w:rPr>
                <w:rFonts w:ascii="Century Gothic" w:eastAsia="Times New Roman" w:hAnsi="Century Gothic"/>
                <w:sz w:val="18"/>
                <w:szCs w:val="18"/>
              </w:rPr>
            </w:pPr>
            <w:r w:rsidRPr="00F838E8">
              <w:rPr>
                <w:rFonts w:ascii="Century Gothic" w:hAnsi="Century Gothic"/>
                <w:sz w:val="18"/>
                <w:szCs w:val="18"/>
              </w:rPr>
              <w:t>Nazwa w projekcie „unijnym”</w:t>
            </w:r>
          </w:p>
        </w:tc>
        <w:tc>
          <w:tcPr>
            <w:tcW w:w="851" w:type="dxa"/>
            <w:tcBorders>
              <w:top w:val="single" w:sz="4" w:space="0" w:color="auto"/>
              <w:left w:val="nil"/>
              <w:bottom w:val="single" w:sz="4" w:space="0" w:color="auto"/>
              <w:right w:val="single" w:sz="4" w:space="0" w:color="auto"/>
            </w:tcBorders>
            <w:vAlign w:val="center"/>
          </w:tcPr>
          <w:p w:rsidR="0074745B" w:rsidRPr="00F838E8" w:rsidRDefault="0074745B" w:rsidP="00F838E8">
            <w:pPr>
              <w:autoSpaceDE w:val="0"/>
              <w:spacing w:line="256" w:lineRule="auto"/>
              <w:jc w:val="center"/>
              <w:rPr>
                <w:rFonts w:ascii="Century Gothic" w:eastAsia="Times New Roman" w:hAnsi="Century Gothic"/>
                <w:sz w:val="18"/>
                <w:szCs w:val="18"/>
              </w:rPr>
            </w:pPr>
            <w:r w:rsidRPr="00F838E8">
              <w:rPr>
                <w:rFonts w:ascii="Century Gothic" w:eastAsia="Times New Roman" w:hAnsi="Century Gothic"/>
                <w:sz w:val="18"/>
                <w:szCs w:val="18"/>
              </w:rPr>
              <w:t>szt.</w:t>
            </w:r>
          </w:p>
        </w:tc>
        <w:tc>
          <w:tcPr>
            <w:tcW w:w="4963" w:type="dxa"/>
            <w:tcBorders>
              <w:top w:val="single" w:sz="4" w:space="0" w:color="auto"/>
              <w:left w:val="single" w:sz="4" w:space="0" w:color="auto"/>
              <w:bottom w:val="single" w:sz="4" w:space="0" w:color="auto"/>
              <w:right w:val="single" w:sz="4" w:space="0" w:color="auto"/>
            </w:tcBorders>
            <w:vAlign w:val="center"/>
            <w:hideMark/>
          </w:tcPr>
          <w:p w:rsidR="0074745B" w:rsidRPr="00F838E8" w:rsidRDefault="0074745B" w:rsidP="00F838E8">
            <w:pPr>
              <w:autoSpaceDE w:val="0"/>
              <w:spacing w:line="256" w:lineRule="auto"/>
              <w:jc w:val="center"/>
              <w:rPr>
                <w:rFonts w:ascii="Century Gothic" w:eastAsia="Times New Roman" w:hAnsi="Century Gothic"/>
                <w:sz w:val="18"/>
                <w:szCs w:val="18"/>
              </w:rPr>
            </w:pPr>
            <w:r w:rsidRPr="00F838E8">
              <w:rPr>
                <w:rFonts w:ascii="Century Gothic" w:hAnsi="Century Gothic"/>
                <w:sz w:val="18"/>
                <w:szCs w:val="18"/>
              </w:rPr>
              <w:t>Uwagi</w:t>
            </w:r>
          </w:p>
        </w:tc>
      </w:tr>
      <w:tr w:rsidR="0074745B" w:rsidRPr="00F838E8" w:rsidTr="00675978">
        <w:trPr>
          <w:trHeight w:val="600"/>
        </w:trPr>
        <w:tc>
          <w:tcPr>
            <w:tcW w:w="2197" w:type="dxa"/>
            <w:tcBorders>
              <w:top w:val="single" w:sz="4" w:space="0" w:color="auto"/>
              <w:left w:val="single" w:sz="4" w:space="0" w:color="auto"/>
              <w:bottom w:val="single" w:sz="4" w:space="0" w:color="auto"/>
              <w:right w:val="single" w:sz="4" w:space="0" w:color="auto"/>
            </w:tcBorders>
            <w:vAlign w:val="center"/>
          </w:tcPr>
          <w:p w:rsidR="0074745B" w:rsidRPr="00F838E8" w:rsidRDefault="0074745B" w:rsidP="00675978">
            <w:pPr>
              <w:spacing w:after="0" w:line="240" w:lineRule="auto"/>
              <w:jc w:val="center"/>
              <w:rPr>
                <w:rFonts w:ascii="Century Gothic" w:eastAsia="Times New Roman" w:hAnsi="Century Gothic"/>
                <w:color w:val="000000"/>
                <w:sz w:val="18"/>
                <w:szCs w:val="18"/>
                <w:lang w:eastAsia="pl-PL"/>
              </w:rPr>
            </w:pPr>
            <w:r w:rsidRPr="00F838E8">
              <w:rPr>
                <w:rFonts w:ascii="Century Gothic" w:eastAsia="Times New Roman" w:hAnsi="Century Gothic"/>
                <w:color w:val="000000"/>
                <w:sz w:val="18"/>
                <w:szCs w:val="18"/>
                <w:lang w:eastAsia="pl-PL"/>
              </w:rPr>
              <w:t>BLOK OPERACYJNY</w:t>
            </w:r>
          </w:p>
        </w:tc>
        <w:tc>
          <w:tcPr>
            <w:tcW w:w="1917" w:type="dxa"/>
            <w:tcBorders>
              <w:top w:val="single" w:sz="4" w:space="0" w:color="auto"/>
              <w:left w:val="nil"/>
              <w:bottom w:val="single" w:sz="4" w:space="0" w:color="auto"/>
              <w:right w:val="single" w:sz="4" w:space="0" w:color="auto"/>
            </w:tcBorders>
            <w:vAlign w:val="center"/>
          </w:tcPr>
          <w:p w:rsidR="0074745B" w:rsidRPr="00F838E8" w:rsidRDefault="0074745B" w:rsidP="00675978">
            <w:pPr>
              <w:spacing w:after="0" w:line="240" w:lineRule="auto"/>
              <w:jc w:val="center"/>
              <w:rPr>
                <w:rFonts w:ascii="Century Gothic" w:eastAsia="Times New Roman" w:hAnsi="Century Gothic"/>
                <w:color w:val="000000"/>
                <w:sz w:val="18"/>
                <w:szCs w:val="18"/>
                <w:lang w:eastAsia="pl-PL"/>
              </w:rPr>
            </w:pPr>
            <w:r w:rsidRPr="00F838E8">
              <w:rPr>
                <w:rFonts w:ascii="Century Gothic" w:eastAsia="Times New Roman" w:hAnsi="Century Gothic"/>
                <w:color w:val="000000"/>
                <w:sz w:val="18"/>
                <w:szCs w:val="18"/>
                <w:lang w:eastAsia="pl-PL"/>
              </w:rPr>
              <w:t>Wyposażenie wspólne</w:t>
            </w:r>
          </w:p>
        </w:tc>
        <w:tc>
          <w:tcPr>
            <w:tcW w:w="2835" w:type="dxa"/>
            <w:tcBorders>
              <w:top w:val="single" w:sz="4" w:space="0" w:color="auto"/>
              <w:left w:val="nil"/>
              <w:bottom w:val="single" w:sz="4" w:space="0" w:color="auto"/>
              <w:right w:val="single" w:sz="4" w:space="0" w:color="auto"/>
            </w:tcBorders>
            <w:vAlign w:val="center"/>
          </w:tcPr>
          <w:p w:rsidR="0074745B" w:rsidRPr="00F838E8" w:rsidRDefault="0074745B" w:rsidP="00675978">
            <w:pPr>
              <w:spacing w:after="0" w:line="240" w:lineRule="auto"/>
              <w:rPr>
                <w:rFonts w:ascii="Century Gothic" w:eastAsia="Times New Roman" w:hAnsi="Century Gothic"/>
                <w:color w:val="000000"/>
                <w:sz w:val="18"/>
                <w:szCs w:val="18"/>
                <w:lang w:eastAsia="pl-PL"/>
              </w:rPr>
            </w:pPr>
            <w:r w:rsidRPr="00F838E8">
              <w:rPr>
                <w:rFonts w:ascii="Century Gothic" w:eastAsia="Times New Roman" w:hAnsi="Century Gothic"/>
                <w:color w:val="000000"/>
                <w:sz w:val="18"/>
                <w:szCs w:val="18"/>
                <w:lang w:eastAsia="pl-PL"/>
              </w:rPr>
              <w:t>aparat RTG z ramieniem C (ogólnochirurgiczny)</w:t>
            </w:r>
          </w:p>
        </w:tc>
        <w:tc>
          <w:tcPr>
            <w:tcW w:w="851" w:type="dxa"/>
            <w:tcBorders>
              <w:top w:val="single" w:sz="4" w:space="0" w:color="auto"/>
              <w:left w:val="nil"/>
              <w:bottom w:val="single" w:sz="4" w:space="0" w:color="auto"/>
              <w:right w:val="single" w:sz="4" w:space="0" w:color="auto"/>
            </w:tcBorders>
            <w:vAlign w:val="center"/>
          </w:tcPr>
          <w:p w:rsidR="0074745B" w:rsidRPr="00F838E8" w:rsidRDefault="00D244A7" w:rsidP="00675978">
            <w:pPr>
              <w:spacing w:after="0" w:line="240" w:lineRule="auto"/>
              <w:jc w:val="center"/>
              <w:rPr>
                <w:rFonts w:ascii="Century Gothic" w:eastAsia="Times New Roman" w:hAnsi="Century Gothic"/>
                <w:color w:val="000000"/>
                <w:sz w:val="18"/>
                <w:szCs w:val="18"/>
                <w:lang w:eastAsia="pl-PL"/>
              </w:rPr>
            </w:pPr>
            <w:r w:rsidRPr="00F838E8">
              <w:rPr>
                <w:rFonts w:ascii="Century Gothic" w:eastAsia="Times New Roman" w:hAnsi="Century Gothic"/>
                <w:color w:val="000000"/>
                <w:sz w:val="18"/>
                <w:szCs w:val="18"/>
                <w:lang w:eastAsia="pl-PL"/>
              </w:rPr>
              <w:t>4</w:t>
            </w:r>
          </w:p>
        </w:tc>
        <w:tc>
          <w:tcPr>
            <w:tcW w:w="4963" w:type="dxa"/>
            <w:tcBorders>
              <w:top w:val="single" w:sz="4" w:space="0" w:color="auto"/>
              <w:left w:val="single" w:sz="4" w:space="0" w:color="auto"/>
              <w:bottom w:val="single" w:sz="4" w:space="0" w:color="auto"/>
              <w:right w:val="single" w:sz="4" w:space="0" w:color="auto"/>
            </w:tcBorders>
          </w:tcPr>
          <w:p w:rsidR="0074745B" w:rsidRPr="00F838E8" w:rsidRDefault="00D244A7" w:rsidP="00D244A7">
            <w:pPr>
              <w:autoSpaceDE w:val="0"/>
              <w:autoSpaceDN w:val="0"/>
              <w:adjustRightInd w:val="0"/>
              <w:spacing w:after="0" w:line="240" w:lineRule="auto"/>
              <w:jc w:val="both"/>
              <w:rPr>
                <w:rFonts w:ascii="Century Gothic" w:hAnsi="Century Gothic"/>
                <w:color w:val="000000"/>
                <w:sz w:val="18"/>
                <w:szCs w:val="18"/>
              </w:rPr>
            </w:pPr>
            <w:r w:rsidRPr="00F838E8">
              <w:rPr>
                <w:rFonts w:ascii="Century Gothic" w:hAnsi="Century Gothic"/>
                <w:color w:val="000000"/>
                <w:sz w:val="18"/>
                <w:szCs w:val="18"/>
              </w:rPr>
              <w:t>4 szt.  - pakiet 4 (ogólnochirurgiczny – typ D, generator ok. 15 kW)</w:t>
            </w:r>
          </w:p>
        </w:tc>
      </w:tr>
    </w:tbl>
    <w:p w:rsidR="00334A44" w:rsidRPr="001A32C6" w:rsidRDefault="00334A44" w:rsidP="00334A44">
      <w:pPr>
        <w:spacing w:line="288" w:lineRule="auto"/>
        <w:rPr>
          <w:rFonts w:ascii="Century Gothic" w:eastAsia="Times New Roman" w:hAnsi="Century Gothic" w:cs="Arial"/>
          <w:b/>
          <w:bCs/>
          <w:sz w:val="16"/>
          <w:szCs w:val="16"/>
        </w:rPr>
      </w:pPr>
    </w:p>
    <w:p w:rsidR="00101BDD" w:rsidRDefault="00334A44" w:rsidP="00334A44">
      <w:pPr>
        <w:spacing w:after="0" w:line="240" w:lineRule="auto"/>
        <w:rPr>
          <w:rFonts w:ascii="Century Gothic" w:hAnsi="Century Gothic"/>
          <w:b/>
          <w:sz w:val="20"/>
          <w:szCs w:val="20"/>
        </w:rPr>
      </w:pPr>
      <w:r>
        <w:rPr>
          <w:rFonts w:ascii="Century Gothic" w:hAnsi="Century Gothic"/>
          <w:b/>
          <w:sz w:val="20"/>
          <w:szCs w:val="20"/>
        </w:rPr>
        <w:t>Parametry techniczne i eksploatacyjne</w:t>
      </w:r>
      <w:r w:rsidR="00101BDD">
        <w:rPr>
          <w:rFonts w:ascii="Century Gothic" w:hAnsi="Century Gothic"/>
          <w:b/>
          <w:sz w:val="20"/>
          <w:szCs w:val="20"/>
        </w:rPr>
        <w:t>:</w:t>
      </w:r>
    </w:p>
    <w:p w:rsidR="00334A44" w:rsidRDefault="00334A44" w:rsidP="00334A44">
      <w:pPr>
        <w:spacing w:after="0" w:line="240" w:lineRule="auto"/>
        <w:rPr>
          <w:rFonts w:ascii="Century Gothic" w:hAnsi="Century Gothic"/>
          <w:b/>
          <w:sz w:val="20"/>
          <w:szCs w:val="20"/>
        </w:rPr>
      </w:pPr>
      <w:r>
        <w:rPr>
          <w:rFonts w:ascii="Century Gothic" w:hAnsi="Century Gothic"/>
          <w:b/>
          <w:sz w:val="20"/>
          <w:szCs w:val="20"/>
        </w:rPr>
        <w:t xml:space="preserve"> </w:t>
      </w:r>
    </w:p>
    <w:tbl>
      <w:tblPr>
        <w:tblW w:w="14175" w:type="dxa"/>
        <w:tblInd w:w="-361" w:type="dxa"/>
        <w:tblLayout w:type="fixed"/>
        <w:tblCellMar>
          <w:left w:w="70" w:type="dxa"/>
          <w:right w:w="70" w:type="dxa"/>
        </w:tblCellMar>
        <w:tblLook w:val="04A0" w:firstRow="1" w:lastRow="0" w:firstColumn="1" w:lastColumn="0" w:noHBand="0" w:noVBand="1"/>
      </w:tblPr>
      <w:tblGrid>
        <w:gridCol w:w="842"/>
        <w:gridCol w:w="5401"/>
        <w:gridCol w:w="1559"/>
        <w:gridCol w:w="3119"/>
        <w:gridCol w:w="3254"/>
      </w:tblGrid>
      <w:tr w:rsidR="00334A44" w:rsidTr="00F131EF">
        <w:tc>
          <w:tcPr>
            <w:tcW w:w="842" w:type="dxa"/>
            <w:tcBorders>
              <w:top w:val="single" w:sz="4" w:space="0" w:color="000000"/>
              <w:left w:val="single" w:sz="4" w:space="0" w:color="000000"/>
              <w:bottom w:val="single" w:sz="4" w:space="0" w:color="000000"/>
              <w:right w:val="nil"/>
            </w:tcBorders>
            <w:vAlign w:val="center"/>
            <w:hideMark/>
          </w:tcPr>
          <w:p w:rsidR="00334A44" w:rsidRPr="002532BC" w:rsidRDefault="00334A44" w:rsidP="002532BC">
            <w:pPr>
              <w:snapToGrid w:val="0"/>
              <w:spacing w:after="0" w:line="288" w:lineRule="auto"/>
              <w:rPr>
                <w:rFonts w:ascii="Century Gothic" w:hAnsi="Century Gothic"/>
                <w:b/>
                <w:sz w:val="16"/>
                <w:szCs w:val="16"/>
              </w:rPr>
            </w:pPr>
            <w:r w:rsidRPr="002532BC">
              <w:rPr>
                <w:rFonts w:ascii="Century Gothic" w:hAnsi="Century Gothic"/>
                <w:b/>
                <w:sz w:val="16"/>
                <w:szCs w:val="16"/>
              </w:rPr>
              <w:t>Lp.</w:t>
            </w:r>
          </w:p>
        </w:tc>
        <w:tc>
          <w:tcPr>
            <w:tcW w:w="5401" w:type="dxa"/>
            <w:tcBorders>
              <w:top w:val="single" w:sz="4" w:space="0" w:color="000000"/>
              <w:left w:val="single" w:sz="4" w:space="0" w:color="000000"/>
              <w:bottom w:val="single" w:sz="4" w:space="0" w:color="000000"/>
              <w:right w:val="nil"/>
            </w:tcBorders>
            <w:vAlign w:val="center"/>
            <w:hideMark/>
          </w:tcPr>
          <w:p w:rsidR="00334A44" w:rsidRPr="002532BC" w:rsidRDefault="00334A44" w:rsidP="002532BC">
            <w:pPr>
              <w:snapToGrid w:val="0"/>
              <w:spacing w:after="0" w:line="288" w:lineRule="auto"/>
              <w:rPr>
                <w:rFonts w:ascii="Century Gothic" w:hAnsi="Century Gothic"/>
                <w:b/>
                <w:sz w:val="16"/>
                <w:szCs w:val="16"/>
              </w:rPr>
            </w:pPr>
            <w:r w:rsidRPr="002532BC">
              <w:rPr>
                <w:rFonts w:ascii="Century Gothic" w:hAnsi="Century Gothic"/>
                <w:b/>
                <w:sz w:val="16"/>
                <w:szCs w:val="16"/>
              </w:rPr>
              <w:t>PARAMETR/FUNKCJA/WARUNKI</w:t>
            </w:r>
          </w:p>
        </w:tc>
        <w:tc>
          <w:tcPr>
            <w:tcW w:w="1559" w:type="dxa"/>
            <w:tcBorders>
              <w:top w:val="single" w:sz="4" w:space="0" w:color="000000"/>
              <w:left w:val="single" w:sz="4" w:space="0" w:color="000000"/>
              <w:bottom w:val="single" w:sz="4" w:space="0" w:color="000000"/>
              <w:right w:val="nil"/>
            </w:tcBorders>
            <w:vAlign w:val="center"/>
            <w:hideMark/>
          </w:tcPr>
          <w:p w:rsidR="00334A44" w:rsidRPr="002532BC" w:rsidRDefault="00334A44" w:rsidP="002532BC">
            <w:pPr>
              <w:snapToGrid w:val="0"/>
              <w:spacing w:after="0" w:line="288" w:lineRule="auto"/>
              <w:rPr>
                <w:rFonts w:ascii="Century Gothic" w:hAnsi="Century Gothic"/>
                <w:b/>
                <w:sz w:val="16"/>
                <w:szCs w:val="16"/>
              </w:rPr>
            </w:pPr>
            <w:r w:rsidRPr="002532BC">
              <w:rPr>
                <w:rFonts w:ascii="Century Gothic" w:hAnsi="Century Gothic"/>
                <w:b/>
                <w:sz w:val="16"/>
                <w:szCs w:val="16"/>
              </w:rPr>
              <w:t>Parametr wymagany</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334A44" w:rsidRPr="002532BC" w:rsidRDefault="00334A44" w:rsidP="002532BC">
            <w:pPr>
              <w:snapToGrid w:val="0"/>
              <w:spacing w:after="0" w:line="288" w:lineRule="auto"/>
              <w:rPr>
                <w:rFonts w:ascii="Century Gothic" w:hAnsi="Century Gothic"/>
                <w:b/>
                <w:sz w:val="16"/>
                <w:szCs w:val="16"/>
              </w:rPr>
            </w:pPr>
            <w:r w:rsidRPr="002532BC">
              <w:rPr>
                <w:rFonts w:ascii="Century Gothic" w:hAnsi="Century Gothic"/>
                <w:b/>
                <w:sz w:val="16"/>
                <w:szCs w:val="16"/>
              </w:rPr>
              <w:t xml:space="preserve">Parametr oceniany </w:t>
            </w: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334A44" w:rsidRPr="002532BC" w:rsidRDefault="00334A44" w:rsidP="002532BC">
            <w:pPr>
              <w:snapToGrid w:val="0"/>
              <w:spacing w:after="0" w:line="288" w:lineRule="auto"/>
              <w:rPr>
                <w:rFonts w:ascii="Century Gothic" w:hAnsi="Century Gothic"/>
                <w:b/>
                <w:sz w:val="16"/>
                <w:szCs w:val="16"/>
              </w:rPr>
            </w:pPr>
            <w:r w:rsidRPr="002532BC">
              <w:rPr>
                <w:rFonts w:ascii="Century Gothic" w:hAnsi="Century Gothic"/>
                <w:b/>
                <w:sz w:val="16"/>
                <w:szCs w:val="16"/>
              </w:rPr>
              <w:t>Parametr oferowany</w:t>
            </w:r>
          </w:p>
        </w:tc>
      </w:tr>
      <w:tr w:rsidR="00334A44" w:rsidTr="00F131EF">
        <w:tc>
          <w:tcPr>
            <w:tcW w:w="842" w:type="dxa"/>
            <w:tcBorders>
              <w:top w:val="single" w:sz="4" w:space="0" w:color="000000"/>
              <w:left w:val="single" w:sz="4" w:space="0" w:color="000000"/>
              <w:bottom w:val="single" w:sz="4" w:space="0" w:color="000000"/>
              <w:right w:val="nil"/>
            </w:tcBorders>
            <w:vAlign w:val="center"/>
          </w:tcPr>
          <w:p w:rsidR="00334A44" w:rsidRPr="00735B3C" w:rsidRDefault="00334A44"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735B3C" w:rsidRDefault="00334A44" w:rsidP="002532BC">
            <w:pPr>
              <w:snapToGrid w:val="0"/>
              <w:spacing w:after="0" w:line="288" w:lineRule="auto"/>
              <w:rPr>
                <w:rFonts w:ascii="Century Gothic" w:hAnsi="Century Gothic"/>
                <w:sz w:val="16"/>
                <w:szCs w:val="16"/>
              </w:rPr>
            </w:pPr>
            <w:r w:rsidRPr="00735B3C">
              <w:rPr>
                <w:rFonts w:ascii="Century Gothic" w:hAnsi="Century Gothic"/>
                <w:b/>
                <w:sz w:val="16"/>
                <w:szCs w:val="16"/>
              </w:rPr>
              <w:t>APARAT RTG Z RAMIENIEM C I OPCJĄ ANGIOGRAFICZNĄ Z WYPOSAŻENIEM</w:t>
            </w:r>
          </w:p>
        </w:tc>
        <w:tc>
          <w:tcPr>
            <w:tcW w:w="1559" w:type="dxa"/>
            <w:tcBorders>
              <w:top w:val="single" w:sz="4" w:space="0" w:color="000000"/>
              <w:left w:val="single" w:sz="4" w:space="0" w:color="000000"/>
              <w:bottom w:val="single" w:sz="4" w:space="0" w:color="000000"/>
              <w:right w:val="nil"/>
            </w:tcBorders>
            <w:vAlign w:val="center"/>
          </w:tcPr>
          <w:p w:rsidR="00334A44" w:rsidRPr="002532BC" w:rsidRDefault="00334A44" w:rsidP="002532BC">
            <w:pPr>
              <w:snapToGrid w:val="0"/>
              <w:spacing w:after="0" w:line="288" w:lineRule="auto"/>
              <w:rPr>
                <w:rFonts w:ascii="Century Gothic" w:hAnsi="Century Gothic"/>
                <w:b/>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334A44" w:rsidRPr="002532BC" w:rsidRDefault="00334A44"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334A44" w:rsidRPr="002532BC" w:rsidRDefault="00334A44" w:rsidP="002532BC">
            <w:pPr>
              <w:snapToGrid w:val="0"/>
              <w:spacing w:after="0" w:line="288" w:lineRule="auto"/>
              <w:rPr>
                <w:rFonts w:ascii="Century Gothic" w:hAnsi="Century Gothic"/>
                <w:sz w:val="16"/>
                <w:szCs w:val="16"/>
              </w:rPr>
            </w:pPr>
          </w:p>
        </w:tc>
      </w:tr>
      <w:tr w:rsidR="00334A44" w:rsidTr="00F131EF">
        <w:tc>
          <w:tcPr>
            <w:tcW w:w="842" w:type="dxa"/>
            <w:tcBorders>
              <w:top w:val="single" w:sz="4" w:space="0" w:color="000000"/>
              <w:left w:val="single" w:sz="4" w:space="0" w:color="000000"/>
              <w:bottom w:val="single" w:sz="4" w:space="0" w:color="000000"/>
              <w:right w:val="nil"/>
            </w:tcBorders>
            <w:vAlign w:val="center"/>
          </w:tcPr>
          <w:p w:rsidR="00334A44" w:rsidRPr="00735B3C" w:rsidRDefault="00334A44"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735B3C" w:rsidRDefault="00334A44" w:rsidP="002532BC">
            <w:pPr>
              <w:snapToGrid w:val="0"/>
              <w:spacing w:after="0" w:line="288" w:lineRule="auto"/>
              <w:rPr>
                <w:rFonts w:ascii="Century Gothic" w:hAnsi="Century Gothic"/>
                <w:sz w:val="16"/>
                <w:szCs w:val="16"/>
              </w:rPr>
            </w:pPr>
            <w:r w:rsidRPr="00735B3C">
              <w:rPr>
                <w:rFonts w:ascii="Century Gothic" w:hAnsi="Century Gothic"/>
                <w:sz w:val="16"/>
                <w:szCs w:val="16"/>
              </w:rPr>
              <w:t>Rok produkcji  min. 2019 r. Aparat posiadający oznakowanie CE i certyfikat CE</w:t>
            </w:r>
          </w:p>
        </w:tc>
        <w:tc>
          <w:tcPr>
            <w:tcW w:w="1559" w:type="dxa"/>
            <w:tcBorders>
              <w:top w:val="single" w:sz="4" w:space="0" w:color="000000"/>
              <w:left w:val="single" w:sz="4" w:space="0" w:color="000000"/>
              <w:bottom w:val="single" w:sz="4" w:space="0" w:color="000000"/>
              <w:right w:val="nil"/>
            </w:tcBorders>
            <w:vAlign w:val="center"/>
            <w:hideMark/>
          </w:tcPr>
          <w:p w:rsidR="00334A44" w:rsidRPr="002532BC" w:rsidRDefault="00334A44"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334A44" w:rsidRPr="002532BC" w:rsidRDefault="00334A44"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34A44" w:rsidRPr="002532BC" w:rsidRDefault="00334A44"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334A44" w:rsidTr="00F131EF">
        <w:trPr>
          <w:trHeight w:val="530"/>
        </w:trPr>
        <w:tc>
          <w:tcPr>
            <w:tcW w:w="842" w:type="dxa"/>
            <w:tcBorders>
              <w:top w:val="single" w:sz="4" w:space="0" w:color="000000"/>
              <w:left w:val="single" w:sz="4" w:space="0" w:color="000000"/>
              <w:bottom w:val="single" w:sz="4" w:space="0" w:color="000000"/>
              <w:right w:val="nil"/>
            </w:tcBorders>
            <w:vAlign w:val="center"/>
          </w:tcPr>
          <w:p w:rsidR="00334A44" w:rsidRPr="00735B3C" w:rsidRDefault="00334A44"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735B3C" w:rsidRDefault="00334A44" w:rsidP="002532BC">
            <w:pPr>
              <w:pStyle w:val="HTML-wstpniesformatowany"/>
              <w:spacing w:line="288" w:lineRule="auto"/>
              <w:rPr>
                <w:rFonts w:ascii="Century Gothic" w:hAnsi="Century Gothic" w:cs="Times New Roman"/>
                <w:sz w:val="16"/>
                <w:szCs w:val="16"/>
                <w:lang w:eastAsia="en-US"/>
              </w:rPr>
            </w:pPr>
            <w:r w:rsidRPr="00735B3C">
              <w:rPr>
                <w:rFonts w:ascii="Century Gothic" w:hAnsi="Century Gothic" w:cs="Times New Roman"/>
                <w:sz w:val="16"/>
                <w:szCs w:val="16"/>
                <w:lang w:eastAsia="en-US"/>
              </w:rPr>
              <w:t xml:space="preserve">Aparat w pełni spełniający wymogi obowiązujących procedur wzorcowych dla procedur ogólnochirurgicznych / endoskopowych, </w:t>
            </w:r>
          </w:p>
          <w:p w:rsidR="00334A44" w:rsidRPr="00735B3C" w:rsidRDefault="00334A44" w:rsidP="002532BC">
            <w:pPr>
              <w:pStyle w:val="HTML-wstpniesformatowany"/>
              <w:spacing w:line="288" w:lineRule="auto"/>
              <w:rPr>
                <w:rFonts w:ascii="Century Gothic" w:hAnsi="Century Gothic" w:cs="Times New Roman"/>
                <w:sz w:val="16"/>
                <w:szCs w:val="16"/>
                <w:lang w:eastAsia="en-US"/>
              </w:rPr>
            </w:pPr>
          </w:p>
          <w:p w:rsidR="00334A44" w:rsidRPr="00735B3C" w:rsidRDefault="00334A44" w:rsidP="002532BC">
            <w:pPr>
              <w:pStyle w:val="HTML-wstpniesformatowany"/>
              <w:spacing w:line="288" w:lineRule="auto"/>
              <w:rPr>
                <w:rFonts w:ascii="Century Gothic" w:hAnsi="Century Gothic" w:cs="Times New Roman"/>
                <w:i/>
                <w:sz w:val="16"/>
                <w:szCs w:val="16"/>
              </w:rPr>
            </w:pPr>
            <w:r w:rsidRPr="00735B3C">
              <w:rPr>
                <w:rFonts w:ascii="Century Gothic" w:hAnsi="Century Gothic" w:cs="Times New Roman"/>
                <w:i/>
                <w:sz w:val="16"/>
                <w:szCs w:val="16"/>
              </w:rPr>
              <w:t xml:space="preserve">dotyczy: </w:t>
            </w:r>
            <w:r w:rsidRPr="00735B3C">
              <w:rPr>
                <w:rFonts w:ascii="Century Gothic" w:hAnsi="Century Gothic"/>
                <w:i/>
                <w:sz w:val="16"/>
                <w:szCs w:val="16"/>
              </w:rPr>
              <w:t>procedur wzorcowych opisanych w obwieszczeniu Ministra Zdrowia z dnia 10 listopada 2015 r. w sprawie ogłoszenia wykazu wzorcowych procedur radiologicznych z zakresu radiologii, diagnostyki obrazowej i radiologii zabiegowej (Dz. Urz. Min. Zdrowia z 2015 r., poz. 78)</w:t>
            </w:r>
          </w:p>
        </w:tc>
        <w:tc>
          <w:tcPr>
            <w:tcW w:w="1559" w:type="dxa"/>
            <w:tcBorders>
              <w:top w:val="single" w:sz="4" w:space="0" w:color="000000"/>
              <w:left w:val="single" w:sz="4" w:space="0" w:color="000000"/>
              <w:bottom w:val="single" w:sz="4" w:space="0" w:color="000000"/>
              <w:right w:val="nil"/>
            </w:tcBorders>
            <w:vAlign w:val="center"/>
            <w:hideMark/>
          </w:tcPr>
          <w:p w:rsidR="00334A44" w:rsidRPr="002532BC" w:rsidRDefault="00334A44"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334A44" w:rsidRPr="002532BC" w:rsidRDefault="00334A44"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34A44" w:rsidRPr="002532BC" w:rsidRDefault="00334A44"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334A44" w:rsidTr="00F131EF">
        <w:tc>
          <w:tcPr>
            <w:tcW w:w="842" w:type="dxa"/>
            <w:tcBorders>
              <w:top w:val="single" w:sz="4" w:space="0" w:color="000000"/>
              <w:left w:val="single" w:sz="4" w:space="0" w:color="000000"/>
              <w:bottom w:val="single" w:sz="4" w:space="0" w:color="000000"/>
              <w:right w:val="nil"/>
            </w:tcBorders>
            <w:vAlign w:val="center"/>
          </w:tcPr>
          <w:p w:rsidR="00334A44" w:rsidRPr="002532BC" w:rsidRDefault="00334A44"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2532BC" w:rsidRDefault="00334A44" w:rsidP="002532BC">
            <w:pPr>
              <w:snapToGrid w:val="0"/>
              <w:spacing w:after="0" w:line="288" w:lineRule="auto"/>
              <w:rPr>
                <w:rFonts w:ascii="Century Gothic" w:hAnsi="Century Gothic"/>
                <w:spacing w:val="-1"/>
                <w:sz w:val="16"/>
                <w:szCs w:val="16"/>
              </w:rPr>
            </w:pPr>
            <w:r w:rsidRPr="002532BC">
              <w:rPr>
                <w:rFonts w:ascii="Century Gothic" w:hAnsi="Century Gothic"/>
                <w:spacing w:val="-1"/>
                <w:sz w:val="16"/>
                <w:szCs w:val="16"/>
              </w:rPr>
              <w:t>Zasilanie 240V +/-10%, 50Hz</w:t>
            </w:r>
          </w:p>
        </w:tc>
        <w:tc>
          <w:tcPr>
            <w:tcW w:w="1559" w:type="dxa"/>
            <w:tcBorders>
              <w:top w:val="single" w:sz="4" w:space="0" w:color="000000"/>
              <w:left w:val="single" w:sz="4" w:space="0" w:color="000000"/>
              <w:bottom w:val="single" w:sz="4" w:space="0" w:color="000000"/>
              <w:right w:val="nil"/>
            </w:tcBorders>
            <w:vAlign w:val="center"/>
            <w:hideMark/>
          </w:tcPr>
          <w:p w:rsidR="00334A44" w:rsidRPr="002532BC" w:rsidRDefault="00334A44"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334A44" w:rsidRPr="002532BC" w:rsidRDefault="00334A44"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34A44" w:rsidRPr="002532BC" w:rsidRDefault="00334A44"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334A44" w:rsidTr="00334A44">
        <w:tc>
          <w:tcPr>
            <w:tcW w:w="842" w:type="dxa"/>
            <w:tcBorders>
              <w:top w:val="single" w:sz="4" w:space="0" w:color="000000"/>
              <w:left w:val="single" w:sz="4" w:space="0" w:color="000000"/>
              <w:bottom w:val="single" w:sz="4" w:space="0" w:color="000000"/>
              <w:right w:val="nil"/>
            </w:tcBorders>
            <w:vAlign w:val="center"/>
          </w:tcPr>
          <w:p w:rsidR="00334A44" w:rsidRPr="002532BC" w:rsidRDefault="00334A44"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334A44" w:rsidRPr="002532BC" w:rsidRDefault="00334A44" w:rsidP="002532BC">
            <w:pPr>
              <w:snapToGrid w:val="0"/>
              <w:spacing w:after="0" w:line="288" w:lineRule="auto"/>
              <w:rPr>
                <w:rFonts w:ascii="Century Gothic" w:hAnsi="Century Gothic"/>
                <w:sz w:val="16"/>
                <w:szCs w:val="16"/>
              </w:rPr>
            </w:pPr>
            <w:r w:rsidRPr="002532BC">
              <w:rPr>
                <w:rFonts w:ascii="Century Gothic" w:hAnsi="Century Gothic"/>
                <w:b/>
                <w:bCs/>
                <w:sz w:val="16"/>
                <w:szCs w:val="16"/>
              </w:rPr>
              <w:t>RAMIĘ C</w:t>
            </w:r>
          </w:p>
        </w:tc>
        <w:tc>
          <w:tcPr>
            <w:tcW w:w="1559" w:type="dxa"/>
            <w:tcBorders>
              <w:top w:val="single" w:sz="4" w:space="0" w:color="000000"/>
              <w:left w:val="single" w:sz="4" w:space="0" w:color="000000"/>
              <w:bottom w:val="single" w:sz="4" w:space="0" w:color="000000"/>
              <w:right w:val="nil"/>
            </w:tcBorders>
            <w:vAlign w:val="center"/>
          </w:tcPr>
          <w:p w:rsidR="00334A44" w:rsidRPr="002532BC" w:rsidRDefault="00334A44" w:rsidP="00E43F9C">
            <w:pPr>
              <w:snapToGrid w:val="0"/>
              <w:spacing w:after="0" w:line="288" w:lineRule="auto"/>
              <w:jc w:val="center"/>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334A44" w:rsidRPr="002532BC" w:rsidRDefault="00334A44"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334A44" w:rsidRPr="002532BC" w:rsidRDefault="00334A44" w:rsidP="002532BC">
            <w:pPr>
              <w:snapToGrid w:val="0"/>
              <w:spacing w:after="0" w:line="288" w:lineRule="auto"/>
              <w:rPr>
                <w:rFonts w:ascii="Century Gothic" w:hAnsi="Century Gothic"/>
                <w:sz w:val="16"/>
                <w:szCs w:val="16"/>
              </w:rPr>
            </w:pPr>
          </w:p>
        </w:tc>
      </w:tr>
      <w:tr w:rsidR="002532BC" w:rsidTr="00660905">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Głębokość ramienia C  (odległość między osią wiązki z wewnętrzną powierzchnią ramienia C) – min. 60 cm</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274821">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Zakres rotacji ramienia C (ruch wokół osi wzdłużnej) – min. 360°</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54645E">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Zakres ruchu orbitalnego ramienia C – min. 130°</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903A0D">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Zakres obrotu ramienia C wokół osi pionowej -min. 10°</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351B69">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Zakres ruchu wzdłużnego ramienia C – min. 20 cm</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9E7274">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Zakres ruchu pionowego ramienia C – min. 42 cm</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C1644B">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Zmotoryzowany ruch ramienia C w pionie</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CE766A">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 xml:space="preserve">Prześwit ramienia C (wolna odległość między wzmacniaczem obrazu a lampą RTG) – </w:t>
            </w:r>
          </w:p>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 xml:space="preserve">min. 75 cm </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AF09F7">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Szerokość wózka z ramieniem C – maks. 82 cm</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F131EF">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b/>
                <w:bCs/>
                <w:sz w:val="16"/>
                <w:szCs w:val="16"/>
              </w:rPr>
              <w:t>GENERATOR:</w:t>
            </w:r>
          </w:p>
        </w:tc>
        <w:tc>
          <w:tcPr>
            <w:tcW w:w="1559" w:type="dxa"/>
            <w:tcBorders>
              <w:top w:val="single" w:sz="4" w:space="0" w:color="000000"/>
              <w:left w:val="single" w:sz="4" w:space="0" w:color="000000"/>
              <w:bottom w:val="single" w:sz="4" w:space="0" w:color="000000"/>
              <w:right w:val="nil"/>
            </w:tcBorders>
          </w:tcPr>
          <w:p w:rsidR="002532BC" w:rsidRPr="002532BC" w:rsidRDefault="002532BC" w:rsidP="00E43F9C">
            <w:pPr>
              <w:spacing w:after="0" w:line="288" w:lineRule="auto"/>
              <w:jc w:val="center"/>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p>
        </w:tc>
      </w:tr>
      <w:tr w:rsidR="002532BC" w:rsidTr="003C5183">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Moc generatora RTG – min. 15 kW</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6D56C9">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735B3C">
              <w:rPr>
                <w:rFonts w:ascii="Century Gothic" w:hAnsi="Century Gothic"/>
                <w:sz w:val="16"/>
                <w:szCs w:val="16"/>
              </w:rPr>
              <w:t>Generator w technice HF –</w:t>
            </w:r>
            <w:r w:rsidRPr="002532BC">
              <w:rPr>
                <w:rFonts w:ascii="Century Gothic" w:hAnsi="Century Gothic"/>
                <w:sz w:val="16"/>
                <w:szCs w:val="16"/>
              </w:rPr>
              <w:t xml:space="preserve"> min. 60 kHz</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687EE0">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Tryby pracy:</w:t>
            </w:r>
          </w:p>
          <w:p w:rsidR="002532BC" w:rsidRPr="002532BC" w:rsidRDefault="002532BC" w:rsidP="002532BC">
            <w:pPr>
              <w:widowControl/>
              <w:numPr>
                <w:ilvl w:val="0"/>
                <w:numId w:val="4"/>
              </w:numPr>
              <w:suppressAutoHyphens w:val="0"/>
              <w:spacing w:after="0" w:line="288" w:lineRule="auto"/>
              <w:rPr>
                <w:rFonts w:ascii="Century Gothic" w:hAnsi="Century Gothic"/>
                <w:sz w:val="16"/>
                <w:szCs w:val="16"/>
              </w:rPr>
            </w:pPr>
            <w:r w:rsidRPr="002532BC">
              <w:rPr>
                <w:rFonts w:ascii="Century Gothic" w:hAnsi="Century Gothic"/>
                <w:sz w:val="16"/>
                <w:szCs w:val="16"/>
              </w:rPr>
              <w:t>Fluoroskopia ciągła</w:t>
            </w:r>
          </w:p>
          <w:p w:rsidR="002532BC" w:rsidRPr="002532BC" w:rsidRDefault="002532BC" w:rsidP="002532BC">
            <w:pPr>
              <w:widowControl/>
              <w:numPr>
                <w:ilvl w:val="0"/>
                <w:numId w:val="4"/>
              </w:numPr>
              <w:suppressAutoHyphens w:val="0"/>
              <w:spacing w:after="0" w:line="288" w:lineRule="auto"/>
              <w:rPr>
                <w:rFonts w:ascii="Century Gothic" w:hAnsi="Century Gothic"/>
                <w:sz w:val="16"/>
                <w:szCs w:val="16"/>
              </w:rPr>
            </w:pPr>
            <w:r w:rsidRPr="002532BC">
              <w:rPr>
                <w:rFonts w:ascii="Century Gothic" w:hAnsi="Century Gothic"/>
                <w:sz w:val="16"/>
                <w:szCs w:val="16"/>
              </w:rPr>
              <w:t>Fluoroskopia pulsacyjna</w:t>
            </w:r>
          </w:p>
          <w:p w:rsidR="002532BC" w:rsidRPr="002532BC" w:rsidRDefault="002532BC" w:rsidP="002532BC">
            <w:pPr>
              <w:widowControl/>
              <w:numPr>
                <w:ilvl w:val="0"/>
                <w:numId w:val="4"/>
              </w:numPr>
              <w:suppressAutoHyphens w:val="0"/>
              <w:spacing w:after="0" w:line="288" w:lineRule="auto"/>
              <w:rPr>
                <w:rFonts w:ascii="Century Gothic" w:hAnsi="Century Gothic"/>
                <w:sz w:val="16"/>
                <w:szCs w:val="16"/>
              </w:rPr>
            </w:pPr>
            <w:r w:rsidRPr="002532BC">
              <w:rPr>
                <w:rFonts w:ascii="Century Gothic" w:hAnsi="Century Gothic"/>
                <w:sz w:val="16"/>
                <w:szCs w:val="16"/>
              </w:rPr>
              <w:t>Funkcja zapisu on-line obrazu fluoroskopowego</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00668B" w:rsidP="00E43F9C">
            <w:pPr>
              <w:snapToGrid w:val="0"/>
              <w:spacing w:after="0" w:line="288" w:lineRule="auto"/>
              <w:jc w:val="center"/>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372127">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Maksymalne napięcie w trybie fluoroskopii/radiografii – min. 110 kV / 110 kV</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CB415E">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Maksymalny prąd dla fluoroskopii ciągłej – min. 20 mA</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86121F">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Maksymalny prąd dla fluoroskopii pulsacyjnej – min. 10 mA</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E226D8">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 xml:space="preserve">Maksymalny prąd dla radiografii cyfrowej – min. 50 mA </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9725A8">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Funkcja redukcji poziomu dawki promieniowania w trybie fluoroskopii i fluoroskopii wysokokontrastowej – min. 50 %</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F30AE9">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Funkcje postprocesingowe minimum: ręczne i automatyczne ustawianie kontrastu i jasności obrazów (Window/Level), powiększanie obrazów, prezentacja pozytyw / negatyw obrazów, co najmniej ręczna kolimacja elektroniczna obrazów, pionowe i poziome odwracanie i obrót obrazów, pomiar odległości i kątów, wprowadzanie komentarzy na obrazie (tekst i znaki graficzne)</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00668B" w:rsidP="00E43F9C">
            <w:pPr>
              <w:snapToGrid w:val="0"/>
              <w:spacing w:after="0" w:line="288" w:lineRule="auto"/>
              <w:jc w:val="center"/>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930712">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Zasilanie 1-fazowe – 230 V +/- 10 %, 50 Hz</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00668B" w:rsidP="00E43F9C">
            <w:pPr>
              <w:snapToGrid w:val="0"/>
              <w:spacing w:after="0" w:line="288" w:lineRule="auto"/>
              <w:jc w:val="center"/>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F131EF">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b/>
                <w:bCs/>
                <w:sz w:val="16"/>
                <w:szCs w:val="16"/>
              </w:rPr>
              <w:t>LAMPA RTG</w:t>
            </w:r>
          </w:p>
        </w:tc>
        <w:tc>
          <w:tcPr>
            <w:tcW w:w="1559" w:type="dxa"/>
            <w:tcBorders>
              <w:top w:val="single" w:sz="4" w:space="0" w:color="000000"/>
              <w:left w:val="single" w:sz="4" w:space="0" w:color="000000"/>
              <w:bottom w:val="single" w:sz="4" w:space="0" w:color="000000"/>
              <w:right w:val="nil"/>
            </w:tcBorders>
          </w:tcPr>
          <w:p w:rsidR="002532BC" w:rsidRPr="002532BC" w:rsidRDefault="002532BC" w:rsidP="00E43F9C">
            <w:pPr>
              <w:spacing w:after="0" w:line="288" w:lineRule="auto"/>
              <w:jc w:val="center"/>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p>
        </w:tc>
      </w:tr>
      <w:tr w:rsidR="002532BC" w:rsidTr="00224D5F">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Lampa z wirującą anodą</w:t>
            </w:r>
          </w:p>
        </w:tc>
        <w:tc>
          <w:tcPr>
            <w:tcW w:w="1559" w:type="dxa"/>
            <w:tcBorders>
              <w:top w:val="single" w:sz="4" w:space="0" w:color="000000"/>
              <w:left w:val="single" w:sz="4" w:space="0" w:color="000000"/>
              <w:bottom w:val="single" w:sz="4" w:space="0" w:color="000000"/>
              <w:right w:val="nil"/>
            </w:tcBorders>
            <w:vAlign w:val="center"/>
          </w:tcPr>
          <w:p w:rsidR="002532BC" w:rsidRPr="002532BC" w:rsidRDefault="002532BC"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2532BC"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2532BC" w:rsidTr="00F131EF">
        <w:tc>
          <w:tcPr>
            <w:tcW w:w="842" w:type="dxa"/>
            <w:tcBorders>
              <w:top w:val="single" w:sz="4" w:space="0" w:color="000000"/>
              <w:left w:val="single" w:sz="4" w:space="0" w:color="000000"/>
              <w:bottom w:val="single" w:sz="4" w:space="0" w:color="000000"/>
              <w:right w:val="nil"/>
            </w:tcBorders>
            <w:vAlign w:val="center"/>
          </w:tcPr>
          <w:p w:rsidR="002532BC" w:rsidRPr="002532BC" w:rsidRDefault="002532BC"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532BC" w:rsidRPr="002532BC" w:rsidRDefault="002532BC" w:rsidP="002532BC">
            <w:pPr>
              <w:spacing w:after="0" w:line="288" w:lineRule="auto"/>
              <w:rPr>
                <w:rFonts w:ascii="Century Gothic" w:hAnsi="Century Gothic"/>
                <w:sz w:val="16"/>
                <w:szCs w:val="16"/>
              </w:rPr>
            </w:pPr>
            <w:r w:rsidRPr="002532BC">
              <w:rPr>
                <w:rFonts w:ascii="Century Gothic" w:hAnsi="Century Gothic"/>
                <w:sz w:val="16"/>
                <w:szCs w:val="16"/>
              </w:rPr>
              <w:t xml:space="preserve">Wielkość ogniska małego – maks. 0,3 mm </w:t>
            </w:r>
          </w:p>
        </w:tc>
        <w:tc>
          <w:tcPr>
            <w:tcW w:w="1559" w:type="dxa"/>
            <w:tcBorders>
              <w:top w:val="single" w:sz="4" w:space="0" w:color="000000"/>
              <w:left w:val="single" w:sz="4" w:space="0" w:color="000000"/>
              <w:bottom w:val="single" w:sz="4" w:space="0" w:color="000000"/>
              <w:right w:val="nil"/>
            </w:tcBorders>
          </w:tcPr>
          <w:p w:rsidR="002532BC" w:rsidRPr="002532BC" w:rsidRDefault="002532BC" w:rsidP="00E43F9C">
            <w:pPr>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532BC" w:rsidRPr="002532BC" w:rsidRDefault="002532BC"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532BC" w:rsidRPr="002532BC" w:rsidRDefault="0000668B" w:rsidP="002532BC">
            <w:pPr>
              <w:snapToGrid w:val="0"/>
              <w:spacing w:after="0" w:line="288" w:lineRule="auto"/>
              <w:rPr>
                <w:rFonts w:ascii="Century Gothic" w:hAnsi="Century Gothic"/>
                <w:sz w:val="16"/>
                <w:szCs w:val="16"/>
              </w:rPr>
            </w:pPr>
            <w:r>
              <w:rPr>
                <w:rFonts w:ascii="Century Gothic" w:hAnsi="Century Gothic"/>
                <w:sz w:val="16"/>
                <w:szCs w:val="16"/>
              </w:rPr>
              <w:t>wartość wymagana – 1 pkt, niższa niż wymagana – 2 pkt.</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Wielkość ogniska dużego – maks. 0,8 mm</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C564A9">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C564A9">
            <w:pPr>
              <w:snapToGrid w:val="0"/>
              <w:spacing w:after="0" w:line="288" w:lineRule="auto"/>
              <w:rPr>
                <w:rFonts w:ascii="Century Gothic" w:hAnsi="Century Gothic"/>
                <w:sz w:val="16"/>
                <w:szCs w:val="16"/>
              </w:rPr>
            </w:pPr>
            <w:r>
              <w:rPr>
                <w:rFonts w:ascii="Century Gothic" w:hAnsi="Century Gothic"/>
                <w:sz w:val="16"/>
                <w:szCs w:val="16"/>
              </w:rPr>
              <w:t>wartość wymagana – 1 pkt, niższa niż wymagana – 2 pkt.</w:t>
            </w:r>
          </w:p>
        </w:tc>
      </w:tr>
      <w:tr w:rsidR="0000668B" w:rsidTr="00970D0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Pojemność cieplna anody – min. 300 kHU</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970D0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Pojemność cieplna kołpaka – min. 1800 kHU</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8C46DB">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Szybkość chłodzenia anody – min. 70 kHU/min.</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b/>
                <w:bCs/>
                <w:sz w:val="16"/>
                <w:szCs w:val="16"/>
              </w:rPr>
              <w:t>CECHY KOLIMATORA</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p>
        </w:tc>
      </w:tr>
      <w:tr w:rsidR="0000668B" w:rsidTr="001F464E">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735B3C">
              <w:rPr>
                <w:rFonts w:ascii="Century Gothic" w:hAnsi="Century Gothic"/>
                <w:sz w:val="16"/>
                <w:szCs w:val="16"/>
              </w:rPr>
              <w:t>Przesłona typu Irys</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1F464E">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Symetryczna nieprzepuszczalna przesłona szczelinowa</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Asymetryczna nieprzepuszczalna przesłona szczelinowa</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r w:rsidRPr="002532BC">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Tak – 3 pkt., nie – 0 pkt.</w:t>
            </w:r>
          </w:p>
        </w:tc>
      </w:tr>
      <w:tr w:rsidR="0000668B" w:rsidTr="00E64FC8">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Obracanie przesłony szczelinowej</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E64FC8">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Ustawienie kolimatora z podglądem bez promieniowania (na obrazie zamrożonym z wyświetlaniem aktualnego położenia krawędzi przesłon)</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b/>
                <w:bCs/>
                <w:sz w:val="16"/>
                <w:szCs w:val="16"/>
              </w:rPr>
              <w:t>TOR WIZYJNY</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p>
        </w:tc>
      </w:tr>
      <w:tr w:rsidR="0000668B" w:rsidTr="00ED3638">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Średnica wzmacniacza obrazu -  co najmniej 12’’</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ED3638">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Liczba pól obrazowych – min. 3</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5E3EBE">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 xml:space="preserve">Przetwornik obrazu CCD </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5E3EBE">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 xml:space="preserve">Rozdzielczość przetwornika CCD – min. 1024 x 1024 </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244B10">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Obrót obrazu realizowany poprzez obrót kamery i/lub elektroniczny obrót obrazu na monitorze</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244B10">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2 monitory LCD o przekątnej min 19” do jednoczesnego wyświetlania obrazu żywego i referencyjnego</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przekątna wymagana – 1 pkt., wyższa niż wymagana – 2 pkt.</w:t>
            </w:r>
          </w:p>
        </w:tc>
      </w:tr>
      <w:tr w:rsidR="0000668B" w:rsidTr="00AA3115">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 xml:space="preserve">Kontrast monitorów – min. 500:1 </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AA3115">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Ilość obrazów wyświetlana jednocześnie na monitorze – min. 12</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wartość wymagana – 1 pkt., wyższa niż wymagana – 2 pkt.</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 xml:space="preserve">Regulacja wysokości monitorów </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r w:rsidRPr="002532BC">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Tak – 3 pkt., nie – 0 pkt.</w:t>
            </w:r>
          </w:p>
        </w:tc>
      </w:tr>
      <w:tr w:rsidR="0000668B" w:rsidTr="00667969">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Monitory obrotowe</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Regulacja w zakresie min. 180 st. – 3 pkt., mniejsze wartości – 1 pkt.</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b/>
                <w:bCs/>
                <w:sz w:val="16"/>
                <w:szCs w:val="16"/>
              </w:rPr>
              <w:t xml:space="preserve">SYSTEM CYFROWY:   </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p>
        </w:tc>
      </w:tr>
      <w:tr w:rsidR="0000668B" w:rsidTr="008735D8">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 xml:space="preserve">Pamięć na dysku twardym – min. 2000 obrazów   </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8735D8">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Częstotliwość cyfrowego zapisu na dysku twardym obrazów fluoroskopii pulsacyjnej – min. 5 obr/sek.</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901DC1">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Klawiatura alfanumeryczna</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901DC1">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Matryca przetwarzania obrazów – min. 1024 x 1024</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8E7F84">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Głębokość przetwarzania obrazów – min. 12 bitów</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8E7F84">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Pamięć ostatniego obrazu</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3B655B">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Wzmocnienie krawędzi i redukcja szumów w czasie rzeczywistym</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3B655B">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Port USB</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D244A7" w:rsidRDefault="0000668B" w:rsidP="00D244A7">
            <w:pPr>
              <w:snapToGrid w:val="0"/>
              <w:spacing w:after="0" w:line="288" w:lineRule="auto"/>
              <w:jc w:val="both"/>
              <w:rPr>
                <w:rFonts w:ascii="Century Gothic" w:hAnsi="Century Gothic"/>
                <w:sz w:val="16"/>
                <w:szCs w:val="16"/>
              </w:rPr>
            </w:pPr>
            <w:r w:rsidRPr="00D244A7">
              <w:rPr>
                <w:rFonts w:ascii="Century Gothic" w:hAnsi="Century Gothic"/>
                <w:b/>
                <w:bCs/>
                <w:sz w:val="16"/>
                <w:szCs w:val="16"/>
              </w:rPr>
              <w:t xml:space="preserve">POZOSTAŁE WYPOSAŻENIE:   </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p>
        </w:tc>
      </w:tr>
      <w:tr w:rsidR="0000668B" w:rsidTr="005C229B">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Włącznik nożny i ręczny do wyzwalania fluoroskopii/akwizycji</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Dedykowany przycisk wyzwalania skopii o niskiej dawce promieniowania na sterowniku ręcznym i nożnym.</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r w:rsidRPr="002532BC">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Tak – 3 pkt.; Nie – 0 pkt.</w:t>
            </w:r>
          </w:p>
        </w:tc>
      </w:tr>
      <w:tr w:rsidR="0000668B" w:rsidTr="003B79B7">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 xml:space="preserve">Zintegrowany system monitorowania i wyświetlania dawki RTG </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Alarm/Miernik czasu promieniowania powodujący wyłączenie wysokiego napięcia na lampie RTG po 10 minutach nieprzerwanej pracy</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r w:rsidRPr="002532BC">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Tak – 3 pkt.; Nie – 0 pkt.</w:t>
            </w:r>
          </w:p>
        </w:tc>
      </w:tr>
      <w:tr w:rsidR="0000668B" w:rsidTr="00B1793E">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Raport (sprawozdanie)  o dawce z badania wyświetlany na ekranie monitora toru wizyjnego</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AD2753">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Interfejs sieciowy DICOM obsługujący funkcje min.:</w:t>
            </w:r>
          </w:p>
          <w:p w:rsidR="0000668B" w:rsidRPr="002532BC" w:rsidRDefault="0000668B" w:rsidP="002532BC">
            <w:pPr>
              <w:spacing w:after="0" w:line="288" w:lineRule="auto"/>
              <w:rPr>
                <w:rFonts w:ascii="Century Gothic" w:hAnsi="Century Gothic"/>
                <w:sz w:val="16"/>
                <w:szCs w:val="16"/>
                <w:lang w:val="en-US"/>
              </w:rPr>
            </w:pPr>
            <w:r w:rsidRPr="002532BC">
              <w:rPr>
                <w:rFonts w:ascii="Century Gothic" w:hAnsi="Century Gothic"/>
                <w:sz w:val="16"/>
                <w:szCs w:val="16"/>
                <w:lang w:val="en-US"/>
              </w:rPr>
              <w:t>DICOM store, DICOM print</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RPr="002532BC" w:rsidTr="001C5F70">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napToGrid w:val="0"/>
              <w:spacing w:after="0" w:line="288" w:lineRule="auto"/>
              <w:rPr>
                <w:rFonts w:ascii="Century Gothic" w:hAnsi="Century Gothic"/>
                <w:b/>
                <w:bCs/>
                <w:spacing w:val="-2"/>
                <w:sz w:val="16"/>
                <w:szCs w:val="16"/>
              </w:rPr>
            </w:pPr>
            <w:r w:rsidRPr="002532BC">
              <w:rPr>
                <w:rFonts w:ascii="Century Gothic" w:hAnsi="Century Gothic"/>
                <w:b/>
                <w:bCs/>
                <w:spacing w:val="-2"/>
                <w:sz w:val="16"/>
                <w:szCs w:val="16"/>
              </w:rPr>
              <w:t>ŚRODKI DOKUMENTACYJNE I ARCHIWIZACYJNE</w:t>
            </w:r>
            <w:r w:rsidR="001422F8">
              <w:rPr>
                <w:rFonts w:ascii="Century Gothic" w:hAnsi="Century Gothic"/>
                <w:b/>
                <w:bCs/>
                <w:spacing w:val="-2"/>
                <w:sz w:val="16"/>
                <w:szCs w:val="16"/>
              </w:rPr>
              <w:t xml:space="preserve"> / inne wymogi</w:t>
            </w:r>
          </w:p>
          <w:p w:rsidR="0000668B" w:rsidRPr="002532BC" w:rsidRDefault="0000668B" w:rsidP="002532BC">
            <w:pPr>
              <w:snapToGrid w:val="0"/>
              <w:spacing w:after="0" w:line="288" w:lineRule="auto"/>
              <w:rPr>
                <w:rFonts w:ascii="Century Gothic" w:hAnsi="Century Gothic"/>
                <w:b/>
                <w:bCs/>
                <w:spacing w:val="-2"/>
                <w:sz w:val="16"/>
                <w:szCs w:val="16"/>
              </w:rPr>
            </w:pPr>
          </w:p>
          <w:p w:rsidR="0000668B" w:rsidRPr="002532BC" w:rsidRDefault="0000668B" w:rsidP="002532BC">
            <w:pPr>
              <w:snapToGrid w:val="0"/>
              <w:spacing w:after="0" w:line="288" w:lineRule="auto"/>
              <w:jc w:val="both"/>
              <w:rPr>
                <w:rFonts w:ascii="Century Gothic" w:hAnsi="Century Gothic"/>
                <w:sz w:val="16"/>
                <w:szCs w:val="16"/>
              </w:rPr>
            </w:pPr>
            <w:r w:rsidRPr="002532BC">
              <w:rPr>
                <w:rFonts w:ascii="Century Gothic" w:hAnsi="Century Gothic"/>
                <w:bCs/>
                <w:spacing w:val="-2"/>
                <w:sz w:val="16"/>
                <w:szCs w:val="16"/>
              </w:rPr>
              <w:t xml:space="preserve">Uwaga - </w:t>
            </w:r>
            <w:r w:rsidRPr="002532BC">
              <w:rPr>
                <w:rFonts w:ascii="Century Gothic" w:hAnsi="Century Gothic"/>
                <w:sz w:val="16"/>
                <w:szCs w:val="16"/>
              </w:rPr>
              <w:t xml:space="preserve">Zamawiający wymaga, aby Wykonawca zagwarantował, że ewentualna przyszła integracja </w:t>
            </w:r>
            <w:r w:rsidRPr="002532BC">
              <w:rPr>
                <w:rFonts w:ascii="Century Gothic" w:hAnsi="Century Gothic"/>
                <w:bCs/>
                <w:sz w:val="16"/>
                <w:szCs w:val="16"/>
                <w:lang w:eastAsia="pl-PL"/>
              </w:rPr>
              <w:t>dostarczonego aparatu z systemami RIS i PACS nie będzie wymagała dodatkowych opłat. Jako spełnienie warunku oczekuje się zagwarantowania bezkosztowej integracji ze strony Wykonawcy w postaci otwarcia bramki i nawiązania połączenia z RIS/PACS</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Pilot na podczerwień do zdalnego sterowania głównymi funkcjami obrazowymi w aparacie – min. (uruchamianie pętli; przegląd badań; odzyskiwanie poprzedniego obrazu; ustawianie i powrót obrazu na monitorze referencyjnym; wybór pola wzmacniacza obrazu; zapis obrazu)</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r w:rsidRPr="002532BC">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Tak – 3 pkt.; Nie – 0 pkt.</w:t>
            </w:r>
          </w:p>
        </w:tc>
      </w:tr>
      <w:tr w:rsidR="0000668B" w:rsidTr="00F131EF">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Pr="002532BC" w:rsidRDefault="0000668B" w:rsidP="002532BC">
            <w:pPr>
              <w:spacing w:after="0" w:line="288" w:lineRule="auto"/>
              <w:rPr>
                <w:rFonts w:ascii="Century Gothic" w:hAnsi="Century Gothic"/>
                <w:sz w:val="16"/>
                <w:szCs w:val="16"/>
              </w:rPr>
            </w:pPr>
            <w:r w:rsidRPr="002532BC">
              <w:rPr>
                <w:rFonts w:ascii="Century Gothic" w:hAnsi="Century Gothic"/>
                <w:sz w:val="16"/>
                <w:szCs w:val="16"/>
              </w:rPr>
              <w:t>Rozwiązanie do blokowania możliwości wyzwalania skopi i elektrycznego sterowania pionowymi ruchami ramienia C.</w:t>
            </w:r>
          </w:p>
        </w:tc>
        <w:tc>
          <w:tcPr>
            <w:tcW w:w="1559" w:type="dxa"/>
            <w:tcBorders>
              <w:top w:val="single" w:sz="4" w:space="0" w:color="000000"/>
              <w:left w:val="single" w:sz="4" w:space="0" w:color="000000"/>
              <w:bottom w:val="single" w:sz="4" w:space="0" w:color="000000"/>
              <w:right w:val="nil"/>
            </w:tcBorders>
          </w:tcPr>
          <w:p w:rsidR="0000668B" w:rsidRPr="002532BC" w:rsidRDefault="0000668B" w:rsidP="00E43F9C">
            <w:pPr>
              <w:spacing w:after="0" w:line="288" w:lineRule="auto"/>
              <w:jc w:val="center"/>
              <w:rPr>
                <w:rFonts w:ascii="Century Gothic" w:hAnsi="Century Gothic"/>
                <w:sz w:val="16"/>
                <w:szCs w:val="16"/>
              </w:rPr>
            </w:pPr>
            <w:r w:rsidRPr="002532BC">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pacing w:after="0" w:line="288" w:lineRule="auto"/>
              <w:jc w:val="center"/>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Tak – 3 pkt.; Nie – 0 pkt.</w:t>
            </w:r>
          </w:p>
        </w:tc>
      </w:tr>
      <w:tr w:rsidR="0000668B" w:rsidTr="00355C1C">
        <w:tc>
          <w:tcPr>
            <w:tcW w:w="842" w:type="dxa"/>
            <w:tcBorders>
              <w:top w:val="single" w:sz="4" w:space="0" w:color="000000"/>
              <w:left w:val="single" w:sz="4" w:space="0" w:color="000000"/>
              <w:bottom w:val="single" w:sz="4" w:space="0" w:color="000000"/>
              <w:right w:val="nil"/>
            </w:tcBorders>
            <w:vAlign w:val="center"/>
          </w:tcPr>
          <w:p w:rsidR="0000668B" w:rsidRPr="002532BC" w:rsidRDefault="0000668B" w:rsidP="002532B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00668B" w:rsidRDefault="0000668B" w:rsidP="00BA7BDC">
            <w:pPr>
              <w:pStyle w:val="Standard"/>
              <w:snapToGrid w:val="0"/>
              <w:spacing w:before="100" w:beforeAutospacing="1" w:after="100" w:afterAutospacing="1" w:line="288" w:lineRule="auto"/>
              <w:jc w:val="both"/>
              <w:rPr>
                <w:rFonts w:ascii="Century Gothic" w:hAnsi="Century Gothic" w:cs="Calibri"/>
                <w:sz w:val="16"/>
                <w:szCs w:val="16"/>
                <w:lang w:val="pl-PL"/>
              </w:rPr>
            </w:pPr>
            <w:r>
              <w:rPr>
                <w:rFonts w:ascii="Century Gothic" w:hAnsi="Century Gothic" w:cs="Calibri"/>
                <w:sz w:val="16"/>
                <w:szCs w:val="16"/>
                <w:lang w:val="pl-PL"/>
              </w:rPr>
              <w:t>Po stronie dostawcy komplet wszystkich dokumentów, pomiarów i testów (w tym: projekt ochrony radiologicznej, pomiary rozkładu mocy dawki wokół aparatu i pomiary w otoczeniu miejsca użytkowania, testy odbiorcze i specjalistyczne), które są niezbędne do odbioru urządzenia przez uprawnione instytucje.</w:t>
            </w:r>
          </w:p>
          <w:p w:rsidR="0000668B" w:rsidRDefault="0000668B" w:rsidP="00BA7BDC">
            <w:pPr>
              <w:pStyle w:val="Standard"/>
              <w:snapToGrid w:val="0"/>
              <w:spacing w:before="100" w:beforeAutospacing="1" w:after="100" w:afterAutospacing="1" w:line="288" w:lineRule="auto"/>
              <w:jc w:val="both"/>
              <w:rPr>
                <w:rFonts w:ascii="Century Gothic" w:hAnsi="Century Gothic" w:cs="Calibri"/>
                <w:i/>
                <w:sz w:val="16"/>
                <w:szCs w:val="16"/>
                <w:lang w:val="pl-PL"/>
              </w:rPr>
            </w:pPr>
            <w:r>
              <w:rPr>
                <w:rFonts w:ascii="Century Gothic" w:hAnsi="Century Gothic" w:cs="Calibri"/>
                <w:i/>
                <w:sz w:val="16"/>
                <w:szCs w:val="16"/>
                <w:lang w:val="pl-PL"/>
              </w:rPr>
              <w:t>Uwaga – wszelkie certyfikaty, dopuszczenia do eksploatacji – aktualne na dzień składania ofert</w:t>
            </w:r>
            <w:r>
              <w:rPr>
                <w:rFonts w:ascii="Century Gothic" w:hAnsi="Century Gothic"/>
                <w:i/>
                <w:spacing w:val="-1"/>
                <w:sz w:val="16"/>
                <w:szCs w:val="16"/>
                <w:lang w:val="pl-PL"/>
              </w:rPr>
              <w:t xml:space="preserve">, testy wykonane przez </w:t>
            </w:r>
            <w:r>
              <w:rPr>
                <w:rFonts w:ascii="Century Gothic" w:hAnsi="Century Gothic"/>
                <w:i/>
                <w:spacing w:val="-1"/>
                <w:sz w:val="16"/>
                <w:szCs w:val="16"/>
                <w:lang w:val="pl-PL"/>
              </w:rPr>
              <w:lastRenderedPageBreak/>
              <w:t>autoryzowany serwis lub akredytowane laboratorium</w:t>
            </w:r>
          </w:p>
        </w:tc>
        <w:tc>
          <w:tcPr>
            <w:tcW w:w="1559" w:type="dxa"/>
            <w:tcBorders>
              <w:top w:val="single" w:sz="4" w:space="0" w:color="000000"/>
              <w:left w:val="single" w:sz="4" w:space="0" w:color="000000"/>
              <w:bottom w:val="single" w:sz="4" w:space="0" w:color="000000"/>
              <w:right w:val="nil"/>
            </w:tcBorders>
            <w:vAlign w:val="center"/>
          </w:tcPr>
          <w:p w:rsidR="0000668B" w:rsidRPr="002532BC" w:rsidRDefault="0000668B" w:rsidP="00E43F9C">
            <w:pPr>
              <w:snapToGrid w:val="0"/>
              <w:spacing w:after="0" w:line="288" w:lineRule="auto"/>
              <w:jc w:val="center"/>
              <w:rPr>
                <w:rFonts w:ascii="Century Gothic" w:hAnsi="Century Gothic"/>
                <w:sz w:val="16"/>
                <w:szCs w:val="16"/>
              </w:rPr>
            </w:pPr>
            <w:r w:rsidRPr="002532BC">
              <w:rPr>
                <w:rFonts w:ascii="Century Gothic" w:hAnsi="Century Gothic"/>
                <w:sz w:val="16"/>
                <w:szCs w:val="16"/>
              </w:rPr>
              <w:lastRenderedPageBreak/>
              <w:t>Tak, podać</w:t>
            </w:r>
          </w:p>
        </w:tc>
        <w:tc>
          <w:tcPr>
            <w:tcW w:w="3119" w:type="dxa"/>
            <w:tcBorders>
              <w:top w:val="single" w:sz="4" w:space="0" w:color="000000"/>
              <w:left w:val="single" w:sz="4" w:space="0" w:color="000000"/>
              <w:bottom w:val="single" w:sz="4" w:space="0" w:color="000000"/>
              <w:right w:val="single" w:sz="4" w:space="0" w:color="auto"/>
            </w:tcBorders>
          </w:tcPr>
          <w:p w:rsidR="0000668B" w:rsidRPr="002532BC" w:rsidRDefault="0000668B" w:rsidP="002532BC">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00668B" w:rsidRPr="002532BC" w:rsidRDefault="0000668B" w:rsidP="002532BC">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r w:rsidR="0000668B" w:rsidTr="009A1F3B">
        <w:tc>
          <w:tcPr>
            <w:tcW w:w="842" w:type="dxa"/>
            <w:tcBorders>
              <w:top w:val="single" w:sz="4" w:space="0" w:color="000000"/>
              <w:left w:val="single" w:sz="4" w:space="0" w:color="000000"/>
              <w:bottom w:val="single" w:sz="4" w:space="0" w:color="000000"/>
              <w:right w:val="nil"/>
            </w:tcBorders>
            <w:vAlign w:val="center"/>
          </w:tcPr>
          <w:p w:rsidR="0000668B" w:rsidRDefault="0000668B" w:rsidP="00BA7BDC">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00668B" w:rsidRDefault="0000668B">
            <w:pPr>
              <w:pStyle w:val="Standard"/>
              <w:spacing w:line="288" w:lineRule="auto"/>
              <w:jc w:val="both"/>
              <w:rPr>
                <w:rFonts w:ascii="Century Gothic" w:hAnsi="Century Gothic" w:cs="Calibri"/>
                <w:sz w:val="16"/>
                <w:szCs w:val="16"/>
                <w:lang w:val="pl-PL"/>
              </w:rPr>
            </w:pPr>
            <w:r>
              <w:rPr>
                <w:rFonts w:ascii="Century Gothic" w:hAnsi="Century Gothic" w:cs="Calibri"/>
                <w:sz w:val="16"/>
                <w:szCs w:val="16"/>
                <w:lang w:val="pl-PL"/>
              </w:rPr>
              <w:t xml:space="preserve">W cenie oferty - </w:t>
            </w:r>
            <w:r>
              <w:rPr>
                <w:rFonts w:ascii="Century Gothic" w:hAnsi="Century Gothic"/>
                <w:color w:val="000000"/>
                <w:sz w:val="16"/>
                <w:szCs w:val="16"/>
                <w:lang w:val="pl-PL"/>
              </w:rPr>
              <w:t>prace porządkowe po instalacji, odbiór zbędnych opakowań, substancji szkodliwych (o ile występują), naprawa szkód (o ile wystąpią podczas dostawy i montażu).</w:t>
            </w:r>
          </w:p>
        </w:tc>
        <w:tc>
          <w:tcPr>
            <w:tcW w:w="1559" w:type="dxa"/>
            <w:tcBorders>
              <w:top w:val="single" w:sz="4" w:space="0" w:color="000000"/>
              <w:left w:val="single" w:sz="4" w:space="0" w:color="000000"/>
              <w:bottom w:val="single" w:sz="4" w:space="0" w:color="000000"/>
              <w:right w:val="nil"/>
            </w:tcBorders>
            <w:vAlign w:val="center"/>
            <w:hideMark/>
          </w:tcPr>
          <w:p w:rsidR="0000668B" w:rsidRDefault="0000668B">
            <w:pPr>
              <w:pStyle w:val="Zawartotabeli"/>
              <w:snapToGrid w:val="0"/>
              <w:spacing w:before="100" w:beforeAutospacing="1" w:after="100" w:afterAutospacing="1" w:line="288" w:lineRule="auto"/>
              <w:jc w:val="center"/>
              <w:rPr>
                <w:rFonts w:ascii="Century Gothic" w:hAnsi="Century Gothic" w:cs="Calibri"/>
                <w:sz w:val="16"/>
                <w:szCs w:val="16"/>
                <w:lang w:eastAsia="en-US"/>
              </w:rPr>
            </w:pPr>
            <w:r>
              <w:rPr>
                <w:rFonts w:ascii="Century Gothic" w:hAnsi="Century Gothic" w:cs="Calibri"/>
                <w:sz w:val="16"/>
                <w:szCs w:val="16"/>
                <w:lang w:eastAsia="en-US"/>
              </w:rPr>
              <w:t>TAK</w:t>
            </w:r>
          </w:p>
        </w:tc>
        <w:tc>
          <w:tcPr>
            <w:tcW w:w="3119" w:type="dxa"/>
            <w:tcBorders>
              <w:top w:val="single" w:sz="4" w:space="0" w:color="000000"/>
              <w:left w:val="single" w:sz="4" w:space="0" w:color="000000"/>
              <w:bottom w:val="single" w:sz="4" w:space="0" w:color="000000"/>
              <w:right w:val="single" w:sz="4" w:space="0" w:color="auto"/>
            </w:tcBorders>
          </w:tcPr>
          <w:p w:rsidR="0000668B" w:rsidRDefault="0000668B">
            <w:pPr>
              <w:pStyle w:val="Zawartotabeli"/>
              <w:snapToGrid w:val="0"/>
              <w:spacing w:before="100" w:beforeAutospacing="1" w:after="100" w:afterAutospacing="1" w:line="288" w:lineRule="auto"/>
              <w:jc w:val="both"/>
              <w:rPr>
                <w:rFonts w:ascii="Century Gothic" w:hAnsi="Century Gothic" w:cs="Calibri"/>
                <w:sz w:val="16"/>
                <w:szCs w:val="16"/>
                <w:lang w:eastAsia="en-US"/>
              </w:rPr>
            </w:pP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00668B" w:rsidRDefault="0000668B">
            <w:pPr>
              <w:snapToGrid w:val="0"/>
              <w:spacing w:before="100" w:beforeAutospacing="1" w:after="100" w:afterAutospacing="1" w:line="288" w:lineRule="auto"/>
              <w:jc w:val="center"/>
              <w:rPr>
                <w:rFonts w:ascii="Century Gothic" w:hAnsi="Century Gothic"/>
                <w:sz w:val="16"/>
                <w:szCs w:val="16"/>
              </w:rPr>
            </w:pPr>
            <w:r>
              <w:rPr>
                <w:rFonts w:ascii="Century Gothic" w:hAnsi="Century Gothic"/>
                <w:sz w:val="16"/>
                <w:szCs w:val="16"/>
              </w:rPr>
              <w:t>- - -</w:t>
            </w:r>
          </w:p>
        </w:tc>
      </w:tr>
    </w:tbl>
    <w:p w:rsidR="009A1F3B" w:rsidRDefault="009A1F3B"/>
    <w:p w:rsidR="00334A44" w:rsidRDefault="00334A44" w:rsidP="00334A44">
      <w:pPr>
        <w:pStyle w:val="Standard"/>
        <w:rPr>
          <w:rFonts w:ascii="Century Gothic" w:hAnsi="Century Gothic" w:cs="Calibri"/>
          <w:b/>
          <w:sz w:val="20"/>
          <w:szCs w:val="20"/>
        </w:rPr>
      </w:pPr>
      <w:r>
        <w:rPr>
          <w:rFonts w:ascii="Century Gothic" w:hAnsi="Century Gothic" w:cs="Calibri"/>
          <w:b/>
          <w:sz w:val="20"/>
          <w:szCs w:val="20"/>
        </w:rPr>
        <w:t>Warunki gwarancji i serwisu</w:t>
      </w:r>
      <w:r w:rsidR="00101BDD">
        <w:rPr>
          <w:rFonts w:ascii="Century Gothic" w:hAnsi="Century Gothic" w:cs="Calibri"/>
          <w:b/>
          <w:sz w:val="20"/>
          <w:szCs w:val="20"/>
        </w:rPr>
        <w:t>:</w:t>
      </w:r>
      <w:r>
        <w:rPr>
          <w:rFonts w:ascii="Century Gothic" w:hAnsi="Century Gothic" w:cs="Calibri"/>
          <w:b/>
          <w:sz w:val="20"/>
          <w:szCs w:val="20"/>
        </w:rPr>
        <w:t xml:space="preserve"> </w:t>
      </w:r>
    </w:p>
    <w:p w:rsidR="00334A44" w:rsidRDefault="00334A44" w:rsidP="00334A44">
      <w:pPr>
        <w:pStyle w:val="Standard"/>
        <w:rPr>
          <w:rFonts w:ascii="Century Gothic" w:hAnsi="Century Gothic" w:cs="Calibri"/>
          <w:b/>
          <w:sz w:val="20"/>
          <w:szCs w:val="20"/>
        </w:rPr>
      </w:pPr>
    </w:p>
    <w:tbl>
      <w:tblPr>
        <w:tblW w:w="14310" w:type="dxa"/>
        <w:tblInd w:w="-371" w:type="dxa"/>
        <w:tblLayout w:type="fixed"/>
        <w:tblCellMar>
          <w:left w:w="10" w:type="dxa"/>
          <w:right w:w="10" w:type="dxa"/>
        </w:tblCellMar>
        <w:tblLook w:val="04A0" w:firstRow="1" w:lastRow="0" w:firstColumn="1" w:lastColumn="0" w:noHBand="0" w:noVBand="1"/>
      </w:tblPr>
      <w:tblGrid>
        <w:gridCol w:w="852"/>
        <w:gridCol w:w="5384"/>
        <w:gridCol w:w="1558"/>
        <w:gridCol w:w="3117"/>
        <w:gridCol w:w="3399"/>
      </w:tblGrid>
      <w:tr w:rsidR="00334A44" w:rsidTr="00F131EF">
        <w:tc>
          <w:tcPr>
            <w:tcW w:w="851"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334A44" w:rsidRDefault="00334A44" w:rsidP="00F131EF">
            <w:pPr>
              <w:pStyle w:val="TableContents"/>
              <w:spacing w:line="276" w:lineRule="auto"/>
              <w:jc w:val="center"/>
              <w:rPr>
                <w:rFonts w:ascii="Century Gothic" w:hAnsi="Century Gothic" w:cs="Calibri"/>
                <w:sz w:val="16"/>
                <w:szCs w:val="16"/>
              </w:rPr>
            </w:pPr>
            <w:r>
              <w:rPr>
                <w:rFonts w:ascii="Century Gothic" w:hAnsi="Century Gothic" w:cs="Calibri"/>
                <w:sz w:val="16"/>
                <w:szCs w:val="16"/>
              </w:rPr>
              <w:t>l.p.</w:t>
            </w:r>
          </w:p>
        </w:tc>
        <w:tc>
          <w:tcPr>
            <w:tcW w:w="538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334A44" w:rsidRDefault="00334A44" w:rsidP="00F131EF">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w:t>
            </w: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334A44" w:rsidRDefault="00334A44" w:rsidP="00F131EF">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wymagany</w:t>
            </w:r>
          </w:p>
        </w:tc>
        <w:tc>
          <w:tcPr>
            <w:tcW w:w="3119" w:type="dxa"/>
            <w:tcBorders>
              <w:top w:val="single" w:sz="2" w:space="0" w:color="000000"/>
              <w:left w:val="single" w:sz="2" w:space="0" w:color="000000"/>
              <w:bottom w:val="single" w:sz="2" w:space="0" w:color="000000"/>
              <w:right w:val="nil"/>
            </w:tcBorders>
            <w:vAlign w:val="center"/>
            <w:hideMark/>
          </w:tcPr>
          <w:p w:rsidR="00334A44" w:rsidRDefault="00334A44" w:rsidP="00F131EF">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oferowany</w:t>
            </w:r>
          </w:p>
        </w:tc>
        <w:tc>
          <w:tcPr>
            <w:tcW w:w="34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334A44" w:rsidRDefault="00334A44" w:rsidP="00F131EF">
            <w:pPr>
              <w:pStyle w:val="TableContents"/>
              <w:spacing w:line="276" w:lineRule="auto"/>
              <w:jc w:val="center"/>
              <w:rPr>
                <w:rFonts w:ascii="Century Gothic" w:hAnsi="Century Gothic" w:cs="Calibri"/>
                <w:sz w:val="16"/>
                <w:szCs w:val="16"/>
              </w:rPr>
            </w:pPr>
            <w:r>
              <w:rPr>
                <w:rFonts w:ascii="Century Gothic" w:hAnsi="Century Gothic" w:cs="Calibri"/>
                <w:sz w:val="16"/>
                <w:szCs w:val="16"/>
              </w:rPr>
              <w:t>Sposób oceny</w:t>
            </w:r>
          </w:p>
        </w:tc>
      </w:tr>
      <w:tr w:rsidR="00334A44" w:rsidTr="00F131EF">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Gwarancja na aparat (w tym gwarancja na lampę RTG) [miesiące]</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&gt;= 12, podać</w:t>
            </w:r>
          </w:p>
        </w:tc>
        <w:tc>
          <w:tcPr>
            <w:tcW w:w="3119" w:type="dxa"/>
            <w:tcBorders>
              <w:top w:val="nil"/>
              <w:left w:val="single" w:sz="2" w:space="0" w:color="000000"/>
              <w:bottom w:val="single" w:sz="4" w:space="0" w:color="auto"/>
              <w:right w:val="nil"/>
            </w:tcBorders>
          </w:tcPr>
          <w:p w:rsidR="00334A44" w:rsidRDefault="00334A44" w:rsidP="00F131EF">
            <w:pPr>
              <w:pStyle w:val="Standard"/>
              <w:snapToGrid w:val="0"/>
              <w:spacing w:line="276" w:lineRule="auto"/>
              <w:jc w:val="center"/>
              <w:rPr>
                <w:rFonts w:ascii="Century Gothic" w:hAnsi="Century Gothic" w:cs="Calibri"/>
                <w:sz w:val="16"/>
                <w:szCs w:val="16"/>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24 miesiące i więcej – 5 pkt.</w:t>
            </w:r>
          </w:p>
          <w:p w:rsidR="00334A44" w:rsidRDefault="00334A44" w:rsidP="00F131EF">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mniejsze wartości – 1 pkt.</w:t>
            </w:r>
          </w:p>
        </w:tc>
      </w:tr>
      <w:tr w:rsidR="00334A44" w:rsidTr="00F131EF">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Gwarancja min. 10–letniego dostępu do części zamiennych, materiałów eksploatacyjnych i akcesoriów oraz gwarancja aktualizacji oprogramowania do najnowszej, dostępnej wersji na rynku przez min. 12 miesięcy</w:t>
            </w:r>
            <w:r>
              <w:rPr>
                <w:rFonts w:ascii="Century Gothic" w:hAnsi="Century Gothic" w:cs="Calibri"/>
                <w:color w:val="FF0000"/>
                <w:sz w:val="16"/>
                <w:szCs w:val="16"/>
                <w:lang w:val="pl-PL"/>
              </w:rPr>
              <w:t xml:space="preserve"> </w:t>
            </w:r>
            <w:r>
              <w:rPr>
                <w:rFonts w:ascii="Century Gothic" w:hAnsi="Century Gothic" w:cs="Calibri"/>
                <w:sz w:val="16"/>
                <w:szCs w:val="16"/>
                <w:lang w:val="pl-PL"/>
              </w:rPr>
              <w:t>od dnia odbioru, podczas każdego, wykonywanego przeglądu</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F131EF">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Liczba przeglądów okresowych niezbędnych do wykonywania po upływie gwarancji dla potwierdzenia bezpiecznej eksploatacji aparatu – podać, opisać zakres.</w:t>
            </w:r>
          </w:p>
          <w:p w:rsidR="00334A44" w:rsidRDefault="00334A44" w:rsidP="00F131EF">
            <w:pPr>
              <w:pStyle w:val="Standard"/>
              <w:snapToGrid w:val="0"/>
              <w:spacing w:line="276" w:lineRule="auto"/>
              <w:rPr>
                <w:rFonts w:ascii="Century Gothic" w:hAnsi="Century Gothic" w:cs="Calibri"/>
                <w:sz w:val="16"/>
                <w:szCs w:val="16"/>
                <w:lang w:val="pl-PL"/>
              </w:rPr>
            </w:pPr>
          </w:p>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UWAGA – wykonawcę obowiązuje wykonywanie przeglądów okresowych w wymaganej liczbie także w okresie gwarancji (w cenie oferty, bez żadnych dodatkowych kosztów), o ile są one wymagane przez producenta.</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podać</w:t>
            </w:r>
          </w:p>
        </w:tc>
        <w:tc>
          <w:tcPr>
            <w:tcW w:w="3119" w:type="dxa"/>
            <w:tcBorders>
              <w:top w:val="nil"/>
              <w:left w:val="single" w:sz="2" w:space="0" w:color="000000"/>
              <w:bottom w:val="single" w:sz="2" w:space="0" w:color="000000"/>
              <w:right w:val="nil"/>
            </w:tcBorders>
          </w:tcPr>
          <w:p w:rsidR="00334A44" w:rsidRDefault="00334A44" w:rsidP="00F131EF">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Każda naprawa gwarancyjna powoduje przedłużenie okresu gwarancji o liczbę dni  wyłączenia sprzętu z eksploatacji.</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4" w:space="0" w:color="auto"/>
              <w:right w:val="nil"/>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single" w:sz="4" w:space="0" w:color="auto"/>
              <w:left w:val="single" w:sz="2" w:space="0" w:color="000000"/>
              <w:bottom w:val="single" w:sz="4" w:space="0" w:color="auto"/>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Maksymalny czas naprawy  nie może przekroczyć 10 dni roboczych</w:t>
            </w:r>
          </w:p>
        </w:tc>
        <w:tc>
          <w:tcPr>
            <w:tcW w:w="1559"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4" w:space="0" w:color="auto"/>
              <w:right w:val="nil"/>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Wymiana podzespołu na nowy – natychmiastowa lub co najwyżej po pierwszej nieskutecznej próbie jego naprawy</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4" w:space="0" w:color="auto"/>
              <w:bottom w:val="single" w:sz="4" w:space="0" w:color="auto"/>
              <w:right w:val="single" w:sz="4" w:space="0" w:color="auto"/>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Możliwość zgłoszeń 24 godz/dobę, 365 dni/rok</w:t>
            </w:r>
          </w:p>
        </w:tc>
        <w:tc>
          <w:tcPr>
            <w:tcW w:w="1559"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2" w:space="0" w:color="000000"/>
              <w:right w:val="nil"/>
            </w:tcBorders>
          </w:tcPr>
          <w:p w:rsidR="00334A44" w:rsidRDefault="00334A44" w:rsidP="00F131EF">
            <w:pPr>
              <w:pStyle w:val="Standard"/>
              <w:snapToGrid w:val="0"/>
              <w:spacing w:line="276" w:lineRule="auto"/>
              <w:rPr>
                <w:rFonts w:ascii="Century Gothic" w:hAnsi="Century Gothic" w:cs="Calibri"/>
                <w:sz w:val="16"/>
                <w:szCs w:val="16"/>
                <w:lang w:val="pl-PL"/>
              </w:rPr>
            </w:pPr>
          </w:p>
        </w:tc>
        <w:tc>
          <w:tcPr>
            <w:tcW w:w="340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Czas reakcji serwisu (przyjęte zgłoszenie – podjęta naprawa) 2 dni robocze.</w:t>
            </w:r>
          </w:p>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lastRenderedPageBreak/>
              <w:t>Jako "podjęta naprawa" liczy się obecność uprawnionego  pracownika wykonawcy przy uszkodzonym aparacie lub jego odbiór na koszt wykonawcy (np. pocztą kurierską)</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lastRenderedPageBreak/>
              <w:t>tak</w:t>
            </w:r>
          </w:p>
        </w:tc>
        <w:tc>
          <w:tcPr>
            <w:tcW w:w="3119" w:type="dxa"/>
            <w:tcBorders>
              <w:top w:val="nil"/>
              <w:left w:val="single" w:sz="2" w:space="0" w:color="000000"/>
              <w:bottom w:val="single" w:sz="2" w:space="0" w:color="000000"/>
              <w:right w:val="nil"/>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 podać</w:t>
            </w:r>
          </w:p>
        </w:tc>
        <w:tc>
          <w:tcPr>
            <w:tcW w:w="3119" w:type="dxa"/>
            <w:tcBorders>
              <w:top w:val="nil"/>
              <w:left w:val="single" w:sz="2" w:space="0" w:color="000000"/>
              <w:bottom w:val="single" w:sz="2" w:space="0" w:color="000000"/>
              <w:right w:val="nil"/>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en-US"/>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lang w:val="pl-PL"/>
              </w:rPr>
            </w:pPr>
            <w:r>
              <w:rPr>
                <w:rFonts w:ascii="Century Gothic" w:hAnsi="Century Gothic" w:cs="Calibri"/>
                <w:sz w:val="16"/>
                <w:szCs w:val="16"/>
                <w:lang w:val="pl-PL"/>
              </w:rPr>
              <w:t>- - -</w:t>
            </w:r>
          </w:p>
        </w:tc>
      </w:tr>
      <w:tr w:rsidR="00334A44" w:rsidTr="00F131EF">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334A44" w:rsidRPr="00F526B3" w:rsidRDefault="00334A44" w:rsidP="00F131EF">
            <w:pPr>
              <w:pStyle w:val="Standard"/>
              <w:snapToGrid w:val="0"/>
              <w:spacing w:line="276" w:lineRule="auto"/>
              <w:rPr>
                <w:rFonts w:ascii="Century Gothic" w:hAnsi="Century Gothic" w:cs="Calibri"/>
                <w:sz w:val="16"/>
                <w:szCs w:val="16"/>
                <w:lang w:val="pl-PL"/>
              </w:rPr>
            </w:pPr>
            <w:r w:rsidRPr="00F526B3">
              <w:rPr>
                <w:rFonts w:ascii="Century Gothic" w:hAnsi="Century Gothic" w:cs="Calibri"/>
                <w:sz w:val="16"/>
                <w:szCs w:val="16"/>
                <w:lang w:val="pl-PL"/>
              </w:rPr>
              <w:t>Szkolenia dla personelu  medycznego z zakresu obsługi urządzenia (8 osób) w momencie jego instalacji i odbioru; w razie potrzeby możliwość stałego wsparcia aplikacyjnego w początkowym okresie pracy urządzeń (dodatkowe szkolenie, dodatkowa grupa osób, konsultacje, itp.) – potwierdzone certyfikatem.</w:t>
            </w:r>
          </w:p>
          <w:p w:rsidR="00334A44" w:rsidRPr="00F526B3" w:rsidRDefault="00334A44" w:rsidP="00F131EF">
            <w:pPr>
              <w:pStyle w:val="Standard"/>
              <w:snapToGrid w:val="0"/>
              <w:spacing w:line="276" w:lineRule="auto"/>
              <w:rPr>
                <w:rFonts w:ascii="Century Gothic" w:hAnsi="Century Gothic" w:cs="Calibri"/>
                <w:sz w:val="16"/>
                <w:szCs w:val="16"/>
                <w:lang w:val="pl-PL"/>
              </w:rPr>
            </w:pPr>
          </w:p>
          <w:p w:rsidR="00334A44" w:rsidRPr="00F526B3" w:rsidRDefault="00334A44" w:rsidP="00F131EF">
            <w:pPr>
              <w:pStyle w:val="Standard"/>
              <w:snapToGrid w:val="0"/>
              <w:spacing w:line="276" w:lineRule="auto"/>
              <w:jc w:val="both"/>
              <w:rPr>
                <w:rFonts w:ascii="Century Gothic" w:hAnsi="Century Gothic" w:cs="Calibri"/>
                <w:i/>
                <w:sz w:val="16"/>
                <w:szCs w:val="16"/>
                <w:lang w:val="pl-PL"/>
              </w:rPr>
            </w:pPr>
            <w:r w:rsidRPr="00F526B3">
              <w:rPr>
                <w:rFonts w:ascii="Century Gothic" w:hAnsi="Century Gothic" w:cs="Calibri"/>
                <w:i/>
                <w:sz w:val="16"/>
                <w:szCs w:val="16"/>
                <w:lang w:val="pl-PL"/>
              </w:rPr>
              <w:t>uwaga (1) - Należy przewidzieć szkolenia w wym</w:t>
            </w:r>
            <w:r w:rsidR="00F769CA" w:rsidRPr="00F526B3">
              <w:rPr>
                <w:rFonts w:ascii="Century Gothic" w:hAnsi="Century Gothic" w:cs="Calibri"/>
                <w:i/>
                <w:sz w:val="16"/>
                <w:szCs w:val="16"/>
                <w:lang w:val="pl-PL"/>
              </w:rPr>
              <w:t>iarze min.</w:t>
            </w:r>
            <w:r w:rsidRPr="00F526B3">
              <w:rPr>
                <w:rFonts w:ascii="Century Gothic" w:hAnsi="Century Gothic" w:cs="Calibri"/>
                <w:i/>
                <w:sz w:val="16"/>
                <w:szCs w:val="16"/>
                <w:lang w:val="pl-PL"/>
              </w:rPr>
              <w:t xml:space="preserve"> 2 dni roboczych oraz zapewnić możliwość stałego wsparcia aplikacyjnego</w:t>
            </w:r>
          </w:p>
          <w:p w:rsidR="00334A44" w:rsidRPr="00F526B3" w:rsidRDefault="00334A44" w:rsidP="00F131EF">
            <w:pPr>
              <w:pStyle w:val="Standard"/>
              <w:snapToGrid w:val="0"/>
              <w:spacing w:line="276" w:lineRule="auto"/>
              <w:jc w:val="both"/>
              <w:rPr>
                <w:rFonts w:ascii="Century Gothic" w:hAnsi="Century Gothic" w:cs="Calibri"/>
                <w:i/>
                <w:sz w:val="16"/>
                <w:szCs w:val="16"/>
                <w:lang w:val="pl-PL"/>
              </w:rPr>
            </w:pPr>
          </w:p>
          <w:p w:rsidR="00334A44" w:rsidRPr="00F526B3" w:rsidRDefault="00334A44" w:rsidP="00F131EF">
            <w:pPr>
              <w:spacing w:after="0" w:line="240" w:lineRule="auto"/>
              <w:jc w:val="both"/>
              <w:rPr>
                <w:rFonts w:ascii="Century Gothic" w:eastAsia="Times New Roman" w:hAnsi="Century Gothic"/>
                <w:sz w:val="16"/>
                <w:szCs w:val="16"/>
              </w:rPr>
            </w:pPr>
            <w:r w:rsidRPr="00F526B3">
              <w:rPr>
                <w:rFonts w:ascii="Century Gothic" w:hAnsi="Century Gothic"/>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Pr="00F526B3" w:rsidRDefault="00334A44" w:rsidP="00F131EF">
            <w:pPr>
              <w:pStyle w:val="Standard"/>
              <w:snapToGrid w:val="0"/>
              <w:spacing w:line="276" w:lineRule="auto"/>
              <w:jc w:val="center"/>
              <w:rPr>
                <w:rFonts w:ascii="Century Gothic" w:hAnsi="Century Gothic" w:cs="Calibri"/>
                <w:sz w:val="16"/>
                <w:szCs w:val="16"/>
              </w:rPr>
            </w:pPr>
            <w:r w:rsidRPr="00F526B3">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334A44" w:rsidRPr="00F526B3" w:rsidRDefault="00334A44" w:rsidP="00F131EF">
            <w:pPr>
              <w:pStyle w:val="Standard"/>
              <w:snapToGrid w:val="0"/>
              <w:spacing w:line="276" w:lineRule="auto"/>
              <w:rPr>
                <w:rFonts w:ascii="Century Gothic" w:hAnsi="Century Gothic" w:cs="Calibri"/>
                <w:sz w:val="16"/>
                <w:szCs w:val="16"/>
                <w:lang w:val="pl-PL"/>
              </w:rPr>
            </w:pPr>
            <w:r w:rsidRPr="00F526B3">
              <w:rPr>
                <w:rFonts w:ascii="Century Gothic" w:hAnsi="Century Gothic" w:cs="Calibri"/>
                <w:sz w:val="16"/>
                <w:szCs w:val="16"/>
                <w:lang w:val="pl-PL"/>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 potwierdzone certyfikatem</w:t>
            </w:r>
          </w:p>
          <w:p w:rsidR="00334A44" w:rsidRPr="00F526B3" w:rsidRDefault="00334A44" w:rsidP="00F131EF">
            <w:pPr>
              <w:pStyle w:val="Standard"/>
              <w:snapToGrid w:val="0"/>
              <w:spacing w:line="276" w:lineRule="auto"/>
              <w:jc w:val="both"/>
              <w:rPr>
                <w:rFonts w:ascii="Century Gothic" w:hAnsi="Century Gothic" w:cs="Calibri"/>
                <w:sz w:val="16"/>
                <w:szCs w:val="16"/>
                <w:lang w:val="pl-PL"/>
              </w:rPr>
            </w:pPr>
          </w:p>
          <w:p w:rsidR="00334A44" w:rsidRPr="00F526B3" w:rsidRDefault="00334A44" w:rsidP="00F131EF">
            <w:pPr>
              <w:pStyle w:val="Standard"/>
              <w:snapToGrid w:val="0"/>
              <w:spacing w:line="276" w:lineRule="auto"/>
              <w:jc w:val="both"/>
              <w:rPr>
                <w:rFonts w:ascii="Century Gothic" w:hAnsi="Century Gothic" w:cs="Calibri"/>
                <w:i/>
                <w:sz w:val="16"/>
                <w:szCs w:val="16"/>
                <w:lang w:val="pl-PL"/>
              </w:rPr>
            </w:pPr>
            <w:r w:rsidRPr="00F526B3">
              <w:rPr>
                <w:rFonts w:ascii="Century Gothic" w:hAnsi="Century Gothic" w:cs="Calibri"/>
                <w:i/>
                <w:sz w:val="16"/>
                <w:szCs w:val="16"/>
                <w:lang w:val="pl-PL"/>
              </w:rPr>
              <w:t>uwaga (1) - Należy prz</w:t>
            </w:r>
            <w:r w:rsidR="00F769CA" w:rsidRPr="00F526B3">
              <w:rPr>
                <w:rFonts w:ascii="Century Gothic" w:hAnsi="Century Gothic" w:cs="Calibri"/>
                <w:i/>
                <w:sz w:val="16"/>
                <w:szCs w:val="16"/>
                <w:lang w:val="pl-PL"/>
              </w:rPr>
              <w:t>ewidzieć szkolenia w wymiarze min.</w:t>
            </w:r>
            <w:r w:rsidRPr="00F526B3">
              <w:rPr>
                <w:rFonts w:ascii="Century Gothic" w:hAnsi="Century Gothic" w:cs="Calibri"/>
                <w:i/>
                <w:sz w:val="16"/>
                <w:szCs w:val="16"/>
                <w:lang w:val="pl-PL"/>
              </w:rPr>
              <w:t xml:space="preserve"> 2 dni roboczych oraz zapewnić możliwość stałego wsparcia aplikacyjnego</w:t>
            </w:r>
          </w:p>
          <w:p w:rsidR="00334A44" w:rsidRPr="00F526B3" w:rsidRDefault="00334A44" w:rsidP="00F131EF">
            <w:pPr>
              <w:pStyle w:val="Standard"/>
              <w:snapToGrid w:val="0"/>
              <w:spacing w:line="276" w:lineRule="auto"/>
              <w:jc w:val="both"/>
              <w:rPr>
                <w:rFonts w:ascii="Century Gothic" w:hAnsi="Century Gothic" w:cs="Calibri"/>
                <w:i/>
                <w:sz w:val="16"/>
                <w:szCs w:val="16"/>
                <w:lang w:val="pl-PL"/>
              </w:rPr>
            </w:pPr>
          </w:p>
          <w:p w:rsidR="00334A44" w:rsidRPr="00F526B3" w:rsidRDefault="00334A44" w:rsidP="00F131EF">
            <w:pPr>
              <w:pStyle w:val="Standard"/>
              <w:snapToGrid w:val="0"/>
              <w:spacing w:line="276" w:lineRule="auto"/>
              <w:jc w:val="both"/>
              <w:rPr>
                <w:rFonts w:ascii="Century Gothic" w:hAnsi="Century Gothic" w:cs="Calibri"/>
                <w:i/>
                <w:sz w:val="16"/>
                <w:szCs w:val="16"/>
                <w:lang w:val="pl-PL"/>
              </w:rPr>
            </w:pPr>
            <w:r w:rsidRPr="00F526B3">
              <w:rPr>
                <w:rFonts w:ascii="Century Gothic" w:hAnsi="Century Gothic" w:cs="Calibri"/>
                <w:i/>
                <w:sz w:val="16"/>
                <w:szCs w:val="16"/>
                <w:lang w:val="pl-PL"/>
              </w:rPr>
              <w:t xml:space="preserve">uwaga (2) - Jako stałe wsparcie aplikacyjne rozumie się porady, konsultacje, wskazówki, itp. czynności niezbędne do </w:t>
            </w:r>
            <w:r w:rsidRPr="00F526B3">
              <w:rPr>
                <w:rFonts w:ascii="Century Gothic" w:hAnsi="Century Gothic" w:cs="Calibri"/>
                <w:i/>
                <w:sz w:val="16"/>
                <w:szCs w:val="16"/>
                <w:lang w:val="pl-PL"/>
              </w:rPr>
              <w:lastRenderedPageBreak/>
              <w:t>wykorzystywania przez personel wszystkich zaoferowanych w aparacie opcji bez ponoszenia przez Zamawiającego dodatkowych kosztów.</w:t>
            </w:r>
          </w:p>
          <w:p w:rsidR="00334A44" w:rsidRPr="00F526B3" w:rsidRDefault="00334A44" w:rsidP="00F131EF">
            <w:pPr>
              <w:pStyle w:val="Standard"/>
              <w:snapToGrid w:val="0"/>
              <w:spacing w:line="276" w:lineRule="auto"/>
              <w:jc w:val="both"/>
              <w:rPr>
                <w:rFonts w:ascii="Century Gothic" w:hAnsi="Century Gothic" w:cs="Calibri"/>
                <w:i/>
                <w:sz w:val="16"/>
                <w:szCs w:val="16"/>
                <w:lang w:val="pl-PL"/>
              </w:rPr>
            </w:pPr>
          </w:p>
          <w:p w:rsidR="00334A44" w:rsidRPr="00F526B3" w:rsidRDefault="00334A44" w:rsidP="00F131EF">
            <w:pPr>
              <w:pStyle w:val="Standard"/>
              <w:snapToGrid w:val="0"/>
              <w:spacing w:line="276" w:lineRule="auto"/>
              <w:jc w:val="both"/>
              <w:rPr>
                <w:rFonts w:ascii="Century Gothic" w:hAnsi="Century Gothic" w:cs="Calibri"/>
                <w:sz w:val="16"/>
                <w:szCs w:val="16"/>
                <w:lang w:val="pl-PL"/>
              </w:rPr>
            </w:pPr>
            <w:r w:rsidRPr="00F526B3">
              <w:rPr>
                <w:rFonts w:ascii="Century Gothic" w:hAnsi="Century Gothic" w:cs="Calibri"/>
                <w:i/>
                <w:sz w:val="16"/>
                <w:szCs w:val="16"/>
                <w:lang w:val="pl-PL"/>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Pr="00F526B3" w:rsidRDefault="00334A44" w:rsidP="00F131EF">
            <w:pPr>
              <w:pStyle w:val="Standard"/>
              <w:snapToGrid w:val="0"/>
              <w:spacing w:line="276" w:lineRule="auto"/>
              <w:jc w:val="center"/>
              <w:rPr>
                <w:rFonts w:ascii="Century Gothic" w:hAnsi="Century Gothic" w:cs="Calibri"/>
                <w:sz w:val="16"/>
                <w:szCs w:val="16"/>
              </w:rPr>
            </w:pPr>
            <w:r w:rsidRPr="00F526B3">
              <w:rPr>
                <w:rFonts w:ascii="Century Gothic" w:hAnsi="Century Gothic" w:cs="Calibri"/>
                <w:sz w:val="16"/>
                <w:szCs w:val="16"/>
              </w:rPr>
              <w:lastRenderedPageBreak/>
              <w:t>tak</w:t>
            </w:r>
            <w:bookmarkStart w:id="0" w:name="_GoBack"/>
            <w:bookmarkEnd w:id="0"/>
          </w:p>
        </w:tc>
        <w:tc>
          <w:tcPr>
            <w:tcW w:w="3119" w:type="dxa"/>
            <w:tcBorders>
              <w:top w:val="nil"/>
              <w:left w:val="single" w:sz="2" w:space="0" w:color="000000"/>
              <w:bottom w:val="single" w:sz="2" w:space="0" w:color="000000"/>
              <w:right w:val="nil"/>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both"/>
              <w:rPr>
                <w:rFonts w:ascii="Century Gothic" w:hAnsi="Century Gothic" w:cs="Calibri"/>
                <w:b/>
                <w:sz w:val="16"/>
                <w:szCs w:val="16"/>
                <w:lang w:val="pl-PL"/>
              </w:rPr>
            </w:pPr>
            <w:r>
              <w:rPr>
                <w:rFonts w:ascii="Century Gothic" w:hAnsi="Century Gothic" w:cs="Calibri"/>
                <w:sz w:val="16"/>
                <w:szCs w:val="16"/>
                <w:lang w:val="pl-PL"/>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Dokumentacja serwisowa i/lub oprogramowanie serwisowe na potrzeby Zamawiającego (dokumentacja zapewni co najmniej pełną diagnostykę urządzenia, wykonywanie drobnych napraw, regulacji, kalibracji, etc.)</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F131EF">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Instrukcja obsługi w języku polskim w formie elektronicznej i drukowanej.</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F131EF">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F131EF">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bl>
    <w:p w:rsidR="00334A44" w:rsidRDefault="00334A44" w:rsidP="00334A44">
      <w:pPr>
        <w:pStyle w:val="Standard"/>
        <w:rPr>
          <w:rFonts w:ascii="Century Gothic" w:hAnsi="Century Gothic" w:cs="Calibri"/>
          <w:sz w:val="20"/>
          <w:szCs w:val="20"/>
        </w:rPr>
      </w:pPr>
    </w:p>
    <w:p w:rsidR="00334A44" w:rsidRDefault="00334A44" w:rsidP="00334A44">
      <w:pPr>
        <w:spacing w:after="0" w:line="240" w:lineRule="auto"/>
        <w:rPr>
          <w:rFonts w:ascii="Times New Roman" w:hAnsi="Times New Roman" w:cs="Times New Roman"/>
          <w:sz w:val="20"/>
          <w:szCs w:val="20"/>
        </w:rPr>
      </w:pPr>
    </w:p>
    <w:p w:rsidR="00334A44" w:rsidRDefault="00334A44" w:rsidP="00334A44">
      <w:pPr>
        <w:spacing w:after="0" w:line="240" w:lineRule="auto"/>
      </w:pPr>
    </w:p>
    <w:p w:rsidR="00334A44" w:rsidRDefault="00334A44" w:rsidP="00334A44">
      <w:pPr>
        <w:spacing w:after="0" w:line="240" w:lineRule="auto"/>
      </w:pPr>
    </w:p>
    <w:p w:rsidR="00334A44" w:rsidRDefault="00334A44" w:rsidP="00334A44">
      <w:pPr>
        <w:spacing w:after="0" w:line="240" w:lineRule="auto"/>
      </w:pPr>
    </w:p>
    <w:p w:rsidR="00334A44" w:rsidRDefault="00334A44" w:rsidP="00334A44"/>
    <w:p w:rsidR="00334A44" w:rsidRDefault="00334A44"/>
    <w:sectPr w:rsidR="00334A44" w:rsidSect="00334A44">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994" w:rsidRDefault="00604994" w:rsidP="000271EC">
      <w:pPr>
        <w:spacing w:after="0" w:line="240" w:lineRule="auto"/>
      </w:pPr>
      <w:r>
        <w:separator/>
      </w:r>
    </w:p>
  </w:endnote>
  <w:endnote w:type="continuationSeparator" w:id="0">
    <w:p w:rsidR="00604994" w:rsidRDefault="00604994" w:rsidP="0002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0346"/>
      <w:docPartObj>
        <w:docPartGallery w:val="Page Numbers (Bottom of Page)"/>
        <w:docPartUnique/>
      </w:docPartObj>
    </w:sdtPr>
    <w:sdtEndPr>
      <w:rPr>
        <w:sz w:val="16"/>
        <w:szCs w:val="16"/>
      </w:rPr>
    </w:sdtEndPr>
    <w:sdtContent>
      <w:p w:rsidR="00B77D53" w:rsidRPr="00101BDD" w:rsidRDefault="00B77D53">
        <w:pPr>
          <w:pStyle w:val="Stopka"/>
          <w:jc w:val="right"/>
          <w:rPr>
            <w:sz w:val="16"/>
            <w:szCs w:val="16"/>
          </w:rPr>
        </w:pPr>
        <w:r w:rsidRPr="00101BDD">
          <w:rPr>
            <w:sz w:val="16"/>
            <w:szCs w:val="16"/>
          </w:rPr>
          <w:fldChar w:fldCharType="begin"/>
        </w:r>
        <w:r w:rsidRPr="00101BDD">
          <w:rPr>
            <w:sz w:val="16"/>
            <w:szCs w:val="16"/>
          </w:rPr>
          <w:instrText>PAGE   \* MERGEFORMAT</w:instrText>
        </w:r>
        <w:r w:rsidRPr="00101BDD">
          <w:rPr>
            <w:sz w:val="16"/>
            <w:szCs w:val="16"/>
          </w:rPr>
          <w:fldChar w:fldCharType="separate"/>
        </w:r>
        <w:r w:rsidR="00F526B3" w:rsidRPr="00F526B3">
          <w:rPr>
            <w:noProof/>
            <w:sz w:val="16"/>
            <w:szCs w:val="16"/>
            <w:lang w:val="pl-PL"/>
          </w:rPr>
          <w:t>9</w:t>
        </w:r>
        <w:r w:rsidRPr="00101BDD">
          <w:rPr>
            <w:sz w:val="16"/>
            <w:szCs w:val="16"/>
          </w:rPr>
          <w:fldChar w:fldCharType="end"/>
        </w:r>
      </w:p>
    </w:sdtContent>
  </w:sdt>
  <w:p w:rsidR="001422F8" w:rsidRDefault="001422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994" w:rsidRDefault="00604994" w:rsidP="000271EC">
      <w:pPr>
        <w:spacing w:after="0" w:line="240" w:lineRule="auto"/>
      </w:pPr>
      <w:r>
        <w:separator/>
      </w:r>
    </w:p>
  </w:footnote>
  <w:footnote w:type="continuationSeparator" w:id="0">
    <w:p w:rsidR="00604994" w:rsidRDefault="00604994" w:rsidP="00027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EC" w:rsidRDefault="000271EC" w:rsidP="000271EC">
    <w:pPr>
      <w:pStyle w:val="Nagwek"/>
      <w:jc w:val="center"/>
    </w:pPr>
    <w:r>
      <w:rPr>
        <w:noProof/>
        <w:lang w:eastAsia="pl-PL"/>
      </w:rPr>
      <w:drawing>
        <wp:inline distT="0" distB="0" distL="0" distR="0" wp14:anchorId="1EF46C11" wp14:editId="0D6B90C5">
          <wp:extent cx="5972810" cy="681990"/>
          <wp:effectExtent l="0" t="0" r="8890" b="381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681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50D0"/>
    <w:multiLevelType w:val="hybridMultilevel"/>
    <w:tmpl w:val="F0E292D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2A5F268C"/>
    <w:multiLevelType w:val="hybridMultilevel"/>
    <w:tmpl w:val="22406A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31CD323E"/>
    <w:multiLevelType w:val="hybridMultilevel"/>
    <w:tmpl w:val="D230135A"/>
    <w:lvl w:ilvl="0" w:tplc="EC6EE4A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CEC1358"/>
    <w:multiLevelType w:val="hybridMultilevel"/>
    <w:tmpl w:val="6580627C"/>
    <w:lvl w:ilvl="0" w:tplc="FF66A3A8">
      <w:start w:val="1"/>
      <w:numFmt w:val="decimal"/>
      <w:lvlText w:val="%1."/>
      <w:lvlJc w:val="left"/>
      <w:pPr>
        <w:tabs>
          <w:tab w:val="num" w:pos="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FF"/>
    <w:rsid w:val="0000668B"/>
    <w:rsid w:val="000271EC"/>
    <w:rsid w:val="000F0FF3"/>
    <w:rsid w:val="00101BDD"/>
    <w:rsid w:val="001422F8"/>
    <w:rsid w:val="002449F4"/>
    <w:rsid w:val="002532BC"/>
    <w:rsid w:val="002F3BC5"/>
    <w:rsid w:val="00334A44"/>
    <w:rsid w:val="003C445A"/>
    <w:rsid w:val="00604994"/>
    <w:rsid w:val="006F2E3C"/>
    <w:rsid w:val="00712FFC"/>
    <w:rsid w:val="00735B3C"/>
    <w:rsid w:val="0074745B"/>
    <w:rsid w:val="007E6649"/>
    <w:rsid w:val="008265CE"/>
    <w:rsid w:val="00977927"/>
    <w:rsid w:val="009A1F3B"/>
    <w:rsid w:val="00AE7605"/>
    <w:rsid w:val="00B73164"/>
    <w:rsid w:val="00B77D53"/>
    <w:rsid w:val="00C963FF"/>
    <w:rsid w:val="00D244A7"/>
    <w:rsid w:val="00D7521C"/>
    <w:rsid w:val="00E43F9C"/>
    <w:rsid w:val="00EE2FD0"/>
    <w:rsid w:val="00F011ED"/>
    <w:rsid w:val="00F526B3"/>
    <w:rsid w:val="00F769CA"/>
    <w:rsid w:val="00F838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325DF-C7BC-4397-9B08-7FB95ECD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4A44"/>
    <w:pPr>
      <w:widowControl w:val="0"/>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334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34A44"/>
    <w:rPr>
      <w:rFonts w:ascii="Courier New" w:eastAsia="Times New Roman" w:hAnsi="Courier New" w:cs="Courier New"/>
      <w:sz w:val="20"/>
      <w:szCs w:val="20"/>
      <w:lang w:eastAsia="pl-PL"/>
    </w:rPr>
  </w:style>
  <w:style w:type="paragraph" w:styleId="Podtytu">
    <w:name w:val="Subtitle"/>
    <w:basedOn w:val="Normalny"/>
    <w:next w:val="Normalny"/>
    <w:link w:val="PodtytuZnak"/>
    <w:uiPriority w:val="11"/>
    <w:qFormat/>
    <w:rsid w:val="00334A44"/>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uiPriority w:val="11"/>
    <w:rsid w:val="00334A44"/>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334A44"/>
    <w:pPr>
      <w:spacing w:after="0" w:line="240" w:lineRule="auto"/>
    </w:pPr>
    <w:rPr>
      <w:rFonts w:ascii="Times New Roman" w:eastAsia="Andale Sans UI" w:hAnsi="Times New Roman" w:cs="Times New Roman"/>
      <w:kern w:val="1"/>
      <w:sz w:val="24"/>
      <w:szCs w:val="20"/>
      <w:lang w:eastAsia="pl-PL"/>
    </w:rPr>
  </w:style>
  <w:style w:type="table" w:styleId="Tabela-Siatka">
    <w:name w:val="Table Grid"/>
    <w:basedOn w:val="Standardowy"/>
    <w:uiPriority w:val="59"/>
    <w:rsid w:val="00334A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334A44"/>
    <w:pPr>
      <w:tabs>
        <w:tab w:val="center" w:pos="4536"/>
        <w:tab w:val="right" w:pos="9072"/>
      </w:tab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334A44"/>
    <w:rPr>
      <w:rFonts w:ascii="Times New Roman" w:eastAsia="Lucida Sans Unicode" w:hAnsi="Times New Roman" w:cs="Mangal"/>
      <w:kern w:val="3"/>
      <w:sz w:val="20"/>
      <w:szCs w:val="20"/>
      <w:lang w:val="x-none" w:eastAsia="zh-CN" w:bidi="hi-IN"/>
    </w:rPr>
  </w:style>
  <w:style w:type="paragraph" w:customStyle="1" w:styleId="Standard">
    <w:name w:val="Standard"/>
    <w:rsid w:val="00334A44"/>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334A44"/>
    <w:pPr>
      <w:widowControl/>
      <w:suppressLineNumbers/>
    </w:pPr>
    <w:rPr>
      <w:rFonts w:eastAsia="Times New Roman" w:cs="Times New Roman"/>
      <w:lang w:val="pl-PL" w:eastAsia="zh-CN" w:bidi="ar-SA"/>
    </w:rPr>
  </w:style>
  <w:style w:type="paragraph" w:styleId="Akapitzlist">
    <w:name w:val="List Paragraph"/>
    <w:basedOn w:val="Normalny"/>
    <w:uiPriority w:val="34"/>
    <w:qFormat/>
    <w:rsid w:val="00334A44"/>
    <w:pPr>
      <w:widowControl/>
      <w:suppressAutoHyphens w:val="0"/>
      <w:spacing w:after="160" w:line="259" w:lineRule="auto"/>
      <w:ind w:left="720"/>
      <w:contextualSpacing/>
    </w:pPr>
    <w:rPr>
      <w:rFonts w:cs="Times New Roman"/>
      <w:lang w:eastAsia="en-US"/>
    </w:rPr>
  </w:style>
  <w:style w:type="paragraph" w:customStyle="1" w:styleId="Zawartotabeli">
    <w:name w:val="Zawartość tabeli"/>
    <w:basedOn w:val="Normalny"/>
    <w:rsid w:val="009A1F3B"/>
    <w:pPr>
      <w:suppressLineNumbers/>
      <w:spacing w:after="0" w:line="240" w:lineRule="auto"/>
    </w:pPr>
    <w:rPr>
      <w:rFonts w:ascii="Times New Roman" w:eastAsia="Andale Sans UI" w:hAnsi="Times New Roman" w:cs="Times New Roman"/>
      <w:kern w:val="2"/>
      <w:sz w:val="24"/>
      <w:szCs w:val="24"/>
      <w:lang w:eastAsia="pl-PL"/>
    </w:rPr>
  </w:style>
  <w:style w:type="paragraph" w:styleId="Nagwek">
    <w:name w:val="header"/>
    <w:basedOn w:val="Normalny"/>
    <w:link w:val="NagwekZnak"/>
    <w:uiPriority w:val="99"/>
    <w:unhideWhenUsed/>
    <w:rsid w:val="000271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1EC"/>
    <w:rPr>
      <w:rFonts w:ascii="Calibri" w:eastAsia="Calibri" w:hAnsi="Calibri" w:cs="Calibri"/>
      <w:lang w:eastAsia="ar-SA"/>
    </w:rPr>
  </w:style>
  <w:style w:type="paragraph" w:styleId="Tekstdymka">
    <w:name w:val="Balloon Text"/>
    <w:basedOn w:val="Normalny"/>
    <w:link w:val="TekstdymkaZnak"/>
    <w:uiPriority w:val="99"/>
    <w:semiHidden/>
    <w:unhideWhenUsed/>
    <w:rsid w:val="00B77D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7D53"/>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8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2027</Words>
  <Characters>12162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Anna Burszczan</cp:lastModifiedBy>
  <cp:revision>15</cp:revision>
  <cp:lastPrinted>2019-02-01T08:53:00Z</cp:lastPrinted>
  <dcterms:created xsi:type="dcterms:W3CDTF">2019-01-21T18:09:00Z</dcterms:created>
  <dcterms:modified xsi:type="dcterms:W3CDTF">2019-02-21T08:17:00Z</dcterms:modified>
</cp:coreProperties>
</file>