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422F97">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670C9">
              <w:rPr>
                <w:rFonts w:eastAsia="Lucida Sans Unicode"/>
                <w:b/>
                <w:kern w:val="3"/>
                <w:lang w:eastAsia="zh-CN" w:bidi="hi-IN"/>
              </w:rPr>
              <w:t>4</w:t>
            </w:r>
            <w:r w:rsidR="00D74E0C">
              <w:rPr>
                <w:rFonts w:eastAsia="Lucida Sans Unicode"/>
                <w:b/>
                <w:kern w:val="3"/>
                <w:lang w:eastAsia="zh-CN" w:bidi="hi-IN"/>
              </w:rPr>
              <w:t>4</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422F97">
              <w:rPr>
                <w:rFonts w:eastAsia="Lucida Sans Unicode"/>
                <w:b/>
                <w:kern w:val="3"/>
                <w:lang w:eastAsia="zh-CN" w:bidi="hi-IN"/>
              </w:rPr>
              <w:t xml:space="preserve"> </w:t>
            </w:r>
            <w:r w:rsidR="00D74E0C">
              <w:rPr>
                <w:rFonts w:eastAsia="Lucida Sans Unicode"/>
                <w:b/>
                <w:kern w:val="3"/>
                <w:lang w:eastAsia="zh-CN" w:bidi="hi-IN"/>
              </w:rPr>
              <w:t>Wanna dezynfekcyjna</w:t>
            </w:r>
            <w:r w:rsidR="00AB2EB8">
              <w:rPr>
                <w:rFonts w:eastAsia="Lucida Sans Unicode"/>
                <w:b/>
                <w:kern w:val="3"/>
                <w:lang w:eastAsia="zh-CN" w:bidi="hi-IN"/>
              </w:rPr>
              <w:t xml:space="preserve"> (1 szt.)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1139E4" w:rsidRPr="001139E4" w:rsidRDefault="001139E4" w:rsidP="001139E4">
      <w:pPr>
        <w:spacing w:line="288" w:lineRule="auto"/>
        <w:rPr>
          <w:rFonts w:ascii="Century Gothic" w:eastAsia="Times New Roman" w:hAnsi="Century Gothic" w:cs="Arial"/>
          <w:b/>
          <w:bCs/>
        </w:rPr>
      </w:pPr>
      <w:r w:rsidRPr="001139E4">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139E4" w:rsidRPr="001139E4" w:rsidTr="00EA0FC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
                <w:sz w:val="20"/>
                <w:szCs w:val="20"/>
              </w:rPr>
            </w:pPr>
            <w:r w:rsidRPr="001139E4">
              <w:rPr>
                <w:rFonts w:ascii="Century Gothic" w:eastAsia="Times New Roman" w:hAnsi="Century Gothic" w:cs="Times New Roman"/>
                <w:bCs/>
                <w:sz w:val="20"/>
                <w:szCs w:val="20"/>
              </w:rPr>
              <w:t xml:space="preserve">Przedmiot: </w:t>
            </w:r>
            <w:r w:rsidRPr="001139E4">
              <w:rPr>
                <w:rFonts w:ascii="Century Gothic" w:eastAsia="Calibri" w:hAnsi="Century Gothic" w:cs="Times New Roman"/>
                <w:sz w:val="20"/>
                <w:szCs w:val="20"/>
              </w:rPr>
              <w:t xml:space="preserve"> </w:t>
            </w:r>
            <w:r w:rsidRPr="001139E4">
              <w:t xml:space="preserve">                </w:t>
            </w:r>
            <w:r>
              <w:t xml:space="preserve"> </w:t>
            </w:r>
            <w:r w:rsidR="00146154">
              <w:t xml:space="preserve"> </w:t>
            </w:r>
            <w:r w:rsidR="00AB2EB8">
              <w:t xml:space="preserve"> </w:t>
            </w:r>
            <w:r w:rsidR="00DE2517">
              <w:t xml:space="preserve"> </w:t>
            </w:r>
            <w:r w:rsidR="00D670C9">
              <w:t xml:space="preserve"> </w:t>
            </w:r>
            <w:r w:rsidR="00D74E0C">
              <w:t xml:space="preserve"> </w:t>
            </w:r>
            <w:r w:rsidR="00D74E0C" w:rsidRPr="00D74E0C">
              <w:rPr>
                <w:rFonts w:ascii="Century Gothic" w:eastAsia="Times New Roman" w:hAnsi="Century Gothic" w:cs="Times New Roman"/>
                <w:b/>
                <w:sz w:val="20"/>
                <w:szCs w:val="20"/>
              </w:rPr>
              <w:t>Wanna dezynfekcyjna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r w:rsidRPr="001139E4">
              <w:rPr>
                <w:rFonts w:ascii="Century Gothic" w:eastAsia="Times New Roman" w:hAnsi="Century Gothic" w:cs="Times New Roman"/>
                <w:b/>
                <w:bCs/>
                <w:sz w:val="20"/>
                <w:szCs w:val="20"/>
              </w:rPr>
              <w:t>Cena brutto (w zł)</w:t>
            </w:r>
          </w:p>
        </w:tc>
      </w:tr>
      <w:tr w:rsidR="001139E4" w:rsidRPr="001139E4" w:rsidTr="00EA0FC7">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w:t>
            </w:r>
            <w:r w:rsidRPr="001139E4">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1139E4" w:rsidRPr="001139E4" w:rsidRDefault="001139E4" w:rsidP="001139E4">
            <w:pPr>
              <w:spacing w:after="0" w:line="240" w:lineRule="auto"/>
              <w:jc w:val="center"/>
              <w:rPr>
                <w:rFonts w:ascii="Century Gothic" w:eastAsia="Times New Roman" w:hAnsi="Century Gothic" w:cs="Times New Roman"/>
                <w:bCs/>
                <w:sz w:val="20"/>
                <w:szCs w:val="20"/>
              </w:rPr>
            </w:pPr>
            <w:r w:rsidRPr="001139E4">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1139E4" w:rsidRPr="001139E4" w:rsidRDefault="000B5BEB" w:rsidP="001139E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1139E4" w:rsidRPr="001139E4" w:rsidRDefault="00146154" w:rsidP="001139E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1139E4" w:rsidRPr="001139E4" w:rsidRDefault="001139E4" w:rsidP="001139E4">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B:</w:t>
            </w:r>
            <w:r w:rsidRPr="001139E4">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C:</w:t>
            </w:r>
            <w:r w:rsidRPr="001139E4">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A+B+C:</w:t>
            </w:r>
            <w:r w:rsidRPr="001139E4">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bl>
    <w:p w:rsidR="001139E4" w:rsidRPr="001139E4" w:rsidRDefault="001139E4" w:rsidP="001139E4">
      <w:pPr>
        <w:rPr>
          <w:rFonts w:ascii="Times New Roman" w:eastAsia="Lucida Sans Unicode" w:hAnsi="Times New Roman" w:cs="Times New Roman"/>
          <w:kern w:val="3"/>
          <w:sz w:val="20"/>
          <w:szCs w:val="20"/>
          <w:lang w:eastAsia="zh-CN" w:bidi="hi-IN"/>
        </w:rPr>
      </w:pPr>
      <w:r w:rsidRPr="001139E4">
        <w:rPr>
          <w:rFonts w:ascii="Times New Roman" w:eastAsia="Lucida Sans Unicode" w:hAnsi="Times New Roman" w:cs="Times New Roman"/>
          <w:kern w:val="3"/>
          <w:sz w:val="20"/>
          <w:szCs w:val="20"/>
          <w:lang w:eastAsia="zh-CN" w:bidi="hi-IN"/>
        </w:rPr>
        <w:br w:type="page"/>
      </w:r>
    </w:p>
    <w:p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4A63B9">
              <w:rPr>
                <w:rFonts w:ascii="Times New Roman" w:hAnsi="Times New Roman" w:cs="Times New Roman"/>
              </w:rPr>
              <w:t xml:space="preserve">Wanna do dezynfekcji o poj. </w:t>
            </w:r>
            <w:r>
              <w:rPr>
                <w:rFonts w:ascii="Times New Roman" w:hAnsi="Times New Roman" w:cs="Times New Roman"/>
              </w:rPr>
              <w:t>min. 8</w:t>
            </w:r>
            <w:r w:rsidRPr="004A63B9">
              <w:rPr>
                <w:rFonts w:ascii="Times New Roman" w:hAnsi="Times New Roman" w:cs="Times New Roman"/>
              </w:rPr>
              <w:t>L wykonana z polimeru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97EBB">
              <w:rPr>
                <w:rFonts w:ascii="Times New Roman" w:eastAsia="Andale Sans UI" w:hAnsi="Times New Roman" w:cs="Times New Roman"/>
                <w:kern w:val="1"/>
                <w:lang w:eastAsia="pl-PL"/>
              </w:rPr>
              <w:t xml:space="preserve">wymagana </w:t>
            </w:r>
            <w:r>
              <w:rPr>
                <w:rFonts w:ascii="Times New Roman" w:eastAsia="Andale Sans UI" w:hAnsi="Times New Roman" w:cs="Times New Roman"/>
                <w:kern w:val="1"/>
                <w:lang w:eastAsia="pl-PL"/>
              </w:rPr>
              <w:t>pojemność</w:t>
            </w:r>
            <w:r w:rsidRPr="00E97EBB">
              <w:rPr>
                <w:rFonts w:ascii="Times New Roman" w:eastAsia="Andale Sans UI" w:hAnsi="Times New Roman" w:cs="Times New Roman"/>
                <w:kern w:val="1"/>
                <w:lang w:eastAsia="pl-PL"/>
              </w:rPr>
              <w:t xml:space="preserve"> – 0 pkt naj</w:t>
            </w:r>
            <w:r>
              <w:rPr>
                <w:rFonts w:ascii="Times New Roman" w:eastAsia="Andale Sans UI" w:hAnsi="Times New Roman" w:cs="Times New Roman"/>
                <w:kern w:val="1"/>
                <w:lang w:eastAsia="pl-PL"/>
              </w:rPr>
              <w:t>większa</w:t>
            </w:r>
            <w:r w:rsidRPr="00E97EBB">
              <w:rPr>
                <w:rFonts w:ascii="Times New Roman" w:eastAsia="Andale Sans UI" w:hAnsi="Times New Roman" w:cs="Times New Roman"/>
                <w:kern w:val="1"/>
                <w:lang w:eastAsia="pl-PL"/>
              </w:rPr>
              <w:t xml:space="preserve">  – 3 pkt, inne </w:t>
            </w:r>
            <w:r w:rsidRPr="00D53FFB">
              <w:rPr>
                <w:rFonts w:ascii="Times New Roman" w:eastAsia="Andale Sans UI" w:hAnsi="Times New Roman" w:cs="Times New Roman"/>
                <w:kern w:val="1"/>
                <w:lang w:eastAsia="pl-PL"/>
              </w:rPr>
              <w:t>proporcjonalnie mniej</w:t>
            </w:r>
            <w:r w:rsidR="003F662C" w:rsidRPr="00D53FFB">
              <w:rPr>
                <w:rFonts w:ascii="Times New Roman" w:eastAsia="Andale Sans UI" w:hAnsi="Times New Roman" w:cs="Times New Roman"/>
                <w:kern w:val="1"/>
                <w:lang w:eastAsia="pl-PL"/>
              </w:rPr>
              <w:t xml:space="preserve"> od największej</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4A63B9">
              <w:rPr>
                <w:rFonts w:ascii="Times New Roman" w:hAnsi="Times New Roman" w:cs="Times New Roman"/>
              </w:rPr>
              <w:t>Pojemnik główny - do umieszczania w nim płynów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center"/>
              <w:rPr>
                <w:rFonts w:ascii="Times New Roman" w:hAnsi="Times New Roman" w:cs="Times New Roman"/>
              </w:rPr>
            </w:pPr>
            <w:r w:rsidRPr="00127F3E">
              <w:rPr>
                <w:rFonts w:ascii="Times New Roman" w:hAnsi="Times New Roman" w:cs="Times New Roman"/>
              </w:rPr>
              <w:t>- - -</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4A63B9">
              <w:rPr>
                <w:rFonts w:ascii="Times New Roman" w:hAnsi="Times New Roman" w:cs="Times New Roman"/>
              </w:rPr>
              <w:t>Sito - element perforowany, umożliwia bezproblemowe wyciąganie narzędzi z płynu dezynfekującego,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pacing w:after="0" w:line="240" w:lineRule="auto"/>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center"/>
              <w:rPr>
                <w:rFonts w:ascii="Times New Roman" w:hAnsi="Times New Roman" w:cs="Times New Roman"/>
              </w:rPr>
            </w:pPr>
            <w:r w:rsidRPr="00127F3E">
              <w:rPr>
                <w:rFonts w:ascii="Times New Roman" w:hAnsi="Times New Roman" w:cs="Times New Roman"/>
              </w:rPr>
              <w:t>- - -</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4A63B9">
              <w:rPr>
                <w:rFonts w:ascii="Times New Roman" w:hAnsi="Times New Roman" w:cs="Times New Roman"/>
              </w:rPr>
              <w:t>Płyta – pozwalająca na odsączanie narzędzi bez utraty środków dezynfekcyjnych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center"/>
              <w:rPr>
                <w:rFonts w:ascii="Times New Roman" w:hAnsi="Times New Roman" w:cs="Times New Roman"/>
              </w:rPr>
            </w:pPr>
            <w:r w:rsidRPr="00E97EBB">
              <w:rPr>
                <w:rFonts w:ascii="Times New Roman" w:hAnsi="Times New Roman" w:cs="Times New Roman"/>
              </w:rPr>
              <w:t>- - -</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rPr>
                <w:rFonts w:ascii="Times New Roman" w:hAnsi="Times New Roman" w:cs="Times New Roman"/>
              </w:rPr>
            </w:pPr>
            <w:r w:rsidRPr="004A63B9">
              <w:rPr>
                <w:rFonts w:ascii="Times New Roman" w:hAnsi="Times New Roman" w:cs="Times New Roman"/>
              </w:rPr>
              <w:t>Pokrywka - zapobiega parowaniu.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center"/>
              <w:rPr>
                <w:rFonts w:ascii="Times New Roman" w:hAnsi="Times New Roman" w:cs="Times New Roman"/>
              </w:rPr>
            </w:pPr>
            <w:r w:rsidRPr="00127F3E">
              <w:rPr>
                <w:rFonts w:ascii="Times New Roman" w:hAnsi="Times New Roman" w:cs="Times New Roman"/>
              </w:rPr>
              <w:t>- - -</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4A63B9" w:rsidRDefault="00D74E0C" w:rsidP="00D31709">
            <w:pPr>
              <w:rPr>
                <w:rFonts w:ascii="Times New Roman" w:hAnsi="Times New Roman" w:cs="Times New Roman"/>
              </w:rPr>
            </w:pPr>
            <w:r w:rsidRPr="004A63B9">
              <w:rPr>
                <w:rFonts w:ascii="Times New Roman" w:hAnsi="Times New Roman" w:cs="Times New Roman"/>
              </w:rPr>
              <w:t>Wymiary zewnętrzne 870 x 235 x 160 mm (+/- 20mm)</w:t>
            </w:r>
          </w:p>
          <w:p w:rsidR="00D74E0C" w:rsidRPr="00127F3E" w:rsidRDefault="00D74E0C" w:rsidP="00D31709">
            <w:pPr>
              <w:rPr>
                <w:rFonts w:ascii="Times New Roman" w:hAnsi="Times New Roman" w:cs="Times New Roman"/>
              </w:rPr>
            </w:pPr>
            <w:r w:rsidRPr="004A63B9">
              <w:rPr>
                <w:rFonts w:ascii="Times New Roman" w:hAnsi="Times New Roman" w:cs="Times New Roman"/>
              </w:rPr>
              <w:t>Wymiary wewnętrzne 695 x 170 x 128 mm (+/- 20mm</w:t>
            </w:r>
            <w:r w:rsidR="003F662C">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Default="00D74E0C" w:rsidP="00D31709">
            <w:pPr>
              <w:jc w:val="center"/>
              <w:rPr>
                <w:rFonts w:ascii="Times New Roman" w:hAnsi="Times New Roman" w:cs="Times New Roman"/>
              </w:rPr>
            </w:pPr>
          </w:p>
          <w:p w:rsidR="00D74E0C" w:rsidRPr="00127F3E" w:rsidRDefault="00D74E0C" w:rsidP="00D31709">
            <w:pPr>
              <w:jc w:val="center"/>
              <w:rPr>
                <w:rFonts w:ascii="Times New Roman" w:hAnsi="Times New Roman" w:cs="Times New Roman"/>
              </w:rPr>
            </w:pPr>
            <w:r w:rsidRPr="00127F3E">
              <w:rPr>
                <w:rFonts w:ascii="Times New Roman" w:hAnsi="Times New Roman" w:cs="Times New Roman"/>
              </w:rPr>
              <w:t>- - -</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4A63B9" w:rsidRDefault="00D74E0C" w:rsidP="00D31709">
            <w:pPr>
              <w:jc w:val="both"/>
              <w:rPr>
                <w:rFonts w:ascii="Times New Roman" w:hAnsi="Times New Roman" w:cs="Times New Roman"/>
              </w:rPr>
            </w:pPr>
            <w:r w:rsidRPr="004A63B9">
              <w:rPr>
                <w:rFonts w:ascii="Times New Roman" w:hAnsi="Times New Roman" w:cs="Times New Roman"/>
              </w:rPr>
              <w:t xml:space="preserve">Objętość użytkowa </w:t>
            </w:r>
            <w:r>
              <w:rPr>
                <w:rFonts w:ascii="Times New Roman" w:hAnsi="Times New Roman" w:cs="Times New Roman"/>
              </w:rPr>
              <w:t>–</w:t>
            </w:r>
            <w:r w:rsidRPr="004A63B9">
              <w:rPr>
                <w:rFonts w:ascii="Times New Roman" w:hAnsi="Times New Roman" w:cs="Times New Roman"/>
              </w:rPr>
              <w:t xml:space="preserve"> </w:t>
            </w:r>
            <w:r>
              <w:rPr>
                <w:rFonts w:ascii="Times New Roman" w:hAnsi="Times New Roman" w:cs="Times New Roman"/>
              </w:rPr>
              <w:t xml:space="preserve">min. </w:t>
            </w:r>
            <w:r w:rsidRPr="004A63B9">
              <w:rPr>
                <w:rFonts w:ascii="Times New Roman" w:hAnsi="Times New Roman" w:cs="Times New Roman"/>
              </w:rPr>
              <w:t>10 l.</w:t>
            </w:r>
          </w:p>
          <w:p w:rsidR="00D74E0C" w:rsidRPr="00127F3E" w:rsidRDefault="00D74E0C" w:rsidP="00D31709">
            <w:pPr>
              <w:jc w:val="both"/>
              <w:rPr>
                <w:rFonts w:ascii="Times New Roman" w:hAnsi="Times New Roman" w:cs="Times New Roman"/>
              </w:rPr>
            </w:pPr>
            <w:r w:rsidRPr="004A63B9">
              <w:rPr>
                <w:rFonts w:ascii="Times New Roman" w:hAnsi="Times New Roman" w:cs="Times New Roman"/>
              </w:rPr>
              <w:t xml:space="preserve">Objętość całkowita </w:t>
            </w:r>
            <w:r>
              <w:rPr>
                <w:rFonts w:ascii="Times New Roman" w:hAnsi="Times New Roman" w:cs="Times New Roman"/>
              </w:rPr>
              <w:t>–</w:t>
            </w:r>
            <w:r w:rsidRPr="004A63B9">
              <w:rPr>
                <w:rFonts w:ascii="Times New Roman" w:hAnsi="Times New Roman" w:cs="Times New Roman"/>
              </w:rPr>
              <w:t xml:space="preserve"> </w:t>
            </w:r>
            <w:r>
              <w:rPr>
                <w:rFonts w:ascii="Times New Roman" w:hAnsi="Times New Roman" w:cs="Times New Roman"/>
              </w:rPr>
              <w:t xml:space="preserve">min. </w:t>
            </w:r>
            <w:r w:rsidRPr="004A63B9">
              <w:rPr>
                <w:rFonts w:ascii="Times New Roman" w:hAnsi="Times New Roman" w:cs="Times New Roman"/>
              </w:rPr>
              <w:t>15 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center"/>
              <w:rPr>
                <w:rFonts w:ascii="Times New Roman" w:hAnsi="Times New Roman" w:cs="Times New Roman"/>
              </w:rPr>
            </w:pPr>
            <w:r w:rsidRPr="00127F3E">
              <w:rPr>
                <w:rFonts w:ascii="Times New Roman" w:hAnsi="Times New Roman" w:cs="Times New Roman"/>
              </w:rPr>
              <w:t>- - -</w:t>
            </w:r>
          </w:p>
        </w:tc>
      </w:tr>
      <w:tr w:rsidR="00D74E0C"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4A63B9" w:rsidRDefault="00D74E0C" w:rsidP="000D34EB">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rPr>
                <w:rFonts w:ascii="Times New Roman" w:hAnsi="Times New Roman" w:cs="Times New Roman"/>
              </w:rPr>
            </w:pPr>
            <w:r>
              <w:rPr>
                <w:rFonts w:ascii="Times New Roman" w:hAnsi="Times New Roman" w:cs="Times New Roman"/>
              </w:rPr>
              <w:t>Waga, max. 7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r w:rsidRPr="004A63B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center"/>
              <w:rPr>
                <w:rFonts w:ascii="Times New Roman" w:hAnsi="Times New Roman" w:cs="Times New Roman"/>
              </w:rPr>
            </w:pPr>
            <w:r>
              <w:rPr>
                <w:rFonts w:ascii="Times New Roman" w:hAnsi="Times New Roman" w:cs="Times New Roman"/>
              </w:rPr>
              <w:t xml:space="preserve">wymagana waga – 0 pkt </w:t>
            </w:r>
            <w:r w:rsidRPr="00D53FFB">
              <w:rPr>
                <w:rFonts w:ascii="Times New Roman" w:hAnsi="Times New Roman" w:cs="Times New Roman"/>
              </w:rPr>
              <w:t>najmniejsza  – 3 pkt, inne proporcjonalnie mniej</w:t>
            </w:r>
            <w:r w:rsidR="003F662C" w:rsidRPr="00D53FFB">
              <w:rPr>
                <w:rFonts w:ascii="Times New Roman" w:hAnsi="Times New Roman" w:cs="Times New Roman"/>
              </w:rPr>
              <w:t xml:space="preserve"> od najmniejszej</w:t>
            </w:r>
            <w:bookmarkStart w:id="0" w:name="_GoBack"/>
            <w:bookmarkEnd w:id="0"/>
            <w:r w:rsidR="003F662C">
              <w:rPr>
                <w:rFonts w:ascii="Times New Roman" w:hAnsi="Times New Roman" w:cs="Times New Roman"/>
              </w:rPr>
              <w:t xml:space="preserve"> </w:t>
            </w:r>
          </w:p>
        </w:tc>
      </w:tr>
    </w:tbl>
    <w:p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D74E0C" w:rsidRDefault="00EF49E0" w:rsidP="000D34EB">
            <w:pPr>
              <w:pStyle w:val="Akapitzlist"/>
              <w:widowControl w:val="0"/>
              <w:numPr>
                <w:ilvl w:val="0"/>
                <w:numId w:val="2"/>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74E0C"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D74E0C" w:rsidRPr="00127F3E" w:rsidRDefault="00D74E0C" w:rsidP="00D3170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w:t>
            </w:r>
            <w:r>
              <w:rPr>
                <w:rFonts w:ascii="Times New Roman" w:eastAsia="Andale Sans UI" w:hAnsi="Times New Roman" w:cs="Times New Roman"/>
                <w:color w:val="000000" w:themeColor="text1"/>
                <w:kern w:val="1"/>
                <w:lang w:eastAsia="pl-PL"/>
              </w:rPr>
              <w:t>cą punktacji 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D74E0C"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D74E0C" w:rsidRPr="00127F3E" w:rsidRDefault="00D74E0C" w:rsidP="00D3170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127F3E">
              <w:rPr>
                <w:rFonts w:ascii="Times New Roman" w:hAnsi="Times New Roman" w:cs="Times New Roman"/>
              </w:rPr>
              <w:t xml:space="preserve">Dokumentacja serwisowa i/lub oprogramowanie serwisowe na potrzeby Zamawiającego </w:t>
            </w:r>
            <w:r w:rsidRPr="00127F3E">
              <w:rPr>
                <w:rFonts w:ascii="Times New Roman" w:hAnsi="Times New Roman" w:cs="Times New Roman"/>
              </w:rPr>
              <w:lastRenderedPageBreak/>
              <w:t>(dokumentacja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435ECA">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435ECA">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Dokumentacja (lub tzw. lista kontrolna zawierająca wykaz części i czynności) dotycząca przeglądów technicznych w języku polskim (dostarczona przy </w:t>
            </w:r>
            <w:r w:rsidRPr="00127F3E">
              <w:rPr>
                <w:rFonts w:ascii="Times New Roman" w:hAnsi="Times New Roman" w:cs="Times New Roman"/>
                <w:color w:val="000000" w:themeColor="text1"/>
              </w:rPr>
              <w:lastRenderedPageBreak/>
              <w:t>dostawie).</w:t>
            </w:r>
          </w:p>
          <w:p w:rsidR="00D74E0C" w:rsidRPr="00127F3E" w:rsidRDefault="00D74E0C" w:rsidP="00D3170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D74E0C" w:rsidRPr="00127F3E" w:rsidRDefault="00D74E0C" w:rsidP="00D3170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74E0C" w:rsidRPr="00127F3E" w:rsidTr="0057528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D74E0C" w:rsidRDefault="00D74E0C" w:rsidP="000D34EB">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74E0C" w:rsidRPr="00127F3E" w:rsidRDefault="00D74E0C" w:rsidP="00D3170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74E0C" w:rsidRPr="00127F3E" w:rsidRDefault="00D74E0C" w:rsidP="00D3170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9C" w:rsidRDefault="0012089C" w:rsidP="005A1349">
      <w:pPr>
        <w:spacing w:after="0" w:line="240" w:lineRule="auto"/>
      </w:pPr>
      <w:r>
        <w:separator/>
      </w:r>
    </w:p>
  </w:endnote>
  <w:endnote w:type="continuationSeparator" w:id="0">
    <w:p w:rsidR="0012089C" w:rsidRDefault="0012089C"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D53FFB">
          <w:rPr>
            <w:noProof/>
          </w:rPr>
          <w:t>4</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9C" w:rsidRDefault="0012089C" w:rsidP="005A1349">
      <w:pPr>
        <w:spacing w:after="0" w:line="240" w:lineRule="auto"/>
      </w:pPr>
      <w:r>
        <w:separator/>
      </w:r>
    </w:p>
  </w:footnote>
  <w:footnote w:type="continuationSeparator" w:id="0">
    <w:p w:rsidR="0012089C" w:rsidRDefault="0012089C"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498DE6E" wp14:editId="4799D9EF">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670C9">
      <w:rPr>
        <w:rFonts w:ascii="Garamond" w:eastAsia="Times New Roman" w:hAnsi="Garamond" w:cs="Times New Roman"/>
      </w:rPr>
      <w:t>4</w:t>
    </w:r>
    <w:r w:rsidR="00D74E0C">
      <w:rPr>
        <w:rFonts w:ascii="Garamond" w:eastAsia="Times New Roman" w:hAnsi="Garamond" w:cs="Times New Roman"/>
      </w:rPr>
      <w:t>4</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515FA"/>
    <w:multiLevelType w:val="hybridMultilevel"/>
    <w:tmpl w:val="01D0CED0"/>
    <w:lvl w:ilvl="0" w:tplc="D0C4A0D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3689A"/>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B5BEB"/>
    <w:rsid w:val="000C162A"/>
    <w:rsid w:val="000C1F4C"/>
    <w:rsid w:val="000C40B4"/>
    <w:rsid w:val="000C752E"/>
    <w:rsid w:val="000C776B"/>
    <w:rsid w:val="000D34E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1414"/>
    <w:rsid w:val="001059BC"/>
    <w:rsid w:val="0011241D"/>
    <w:rsid w:val="001139E4"/>
    <w:rsid w:val="00115B52"/>
    <w:rsid w:val="00117092"/>
    <w:rsid w:val="00117448"/>
    <w:rsid w:val="0012089C"/>
    <w:rsid w:val="0012100F"/>
    <w:rsid w:val="00123A70"/>
    <w:rsid w:val="00125E90"/>
    <w:rsid w:val="00127F3E"/>
    <w:rsid w:val="00132263"/>
    <w:rsid w:val="00132D44"/>
    <w:rsid w:val="00134FA7"/>
    <w:rsid w:val="001409BD"/>
    <w:rsid w:val="00141899"/>
    <w:rsid w:val="0014244C"/>
    <w:rsid w:val="001431BE"/>
    <w:rsid w:val="00146154"/>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8793F"/>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62C"/>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87A36"/>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C76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09B8"/>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1EB6"/>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2EB8"/>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3FFB"/>
    <w:rsid w:val="00D548C6"/>
    <w:rsid w:val="00D57538"/>
    <w:rsid w:val="00D606A3"/>
    <w:rsid w:val="00D61C06"/>
    <w:rsid w:val="00D670C9"/>
    <w:rsid w:val="00D70C7D"/>
    <w:rsid w:val="00D727C7"/>
    <w:rsid w:val="00D74399"/>
    <w:rsid w:val="00D74E0C"/>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2517"/>
    <w:rsid w:val="00DE38DE"/>
    <w:rsid w:val="00DE4A8F"/>
    <w:rsid w:val="00DE4D23"/>
    <w:rsid w:val="00DE60C6"/>
    <w:rsid w:val="00DE621A"/>
    <w:rsid w:val="00DE757F"/>
    <w:rsid w:val="00DF6A92"/>
    <w:rsid w:val="00DF6CAC"/>
    <w:rsid w:val="00DF7BB5"/>
    <w:rsid w:val="00E00944"/>
    <w:rsid w:val="00E0097B"/>
    <w:rsid w:val="00E01CB1"/>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AEC73-E6C9-46F1-A7EE-77FC7E67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991</Words>
  <Characters>5947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2019-06-20T21:21:00Z</dcterms:created>
  <dcterms:modified xsi:type="dcterms:W3CDTF">2019-06-24T09:11:00Z</dcterms:modified>
</cp:coreProperties>
</file>