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15" w:rsidRDefault="00E97C15" w:rsidP="006E09C8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6E09C8" w:rsidRDefault="006E09C8" w:rsidP="006E09C8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8D1B98">
        <w:rPr>
          <w:rFonts w:ascii="Garamond" w:eastAsia="Times New Roman" w:hAnsi="Garamond" w:cs="Times New Roman"/>
          <w:b/>
          <w:lang w:eastAsia="ar-SA"/>
        </w:rPr>
        <w:t xml:space="preserve">OPIS PRZEDMIOTU ZAMÓWIENIA </w:t>
      </w:r>
    </w:p>
    <w:p w:rsidR="00E97C15" w:rsidRPr="008D1B98" w:rsidRDefault="00E97C15" w:rsidP="006E09C8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6E09C8" w:rsidRPr="008D1B98" w:rsidRDefault="00E97C15" w:rsidP="006E09C8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8D1B98">
        <w:rPr>
          <w:rFonts w:ascii="Garamond" w:eastAsia="Times New Roman" w:hAnsi="Garamond" w:cs="Times New Roman"/>
          <w:b/>
          <w:lang w:eastAsia="ar-SA"/>
        </w:rPr>
        <w:t>Część 6</w:t>
      </w:r>
      <w:r w:rsidR="006E09C8" w:rsidRPr="008D1B98">
        <w:rPr>
          <w:rFonts w:ascii="Garamond" w:eastAsia="Times New Roman" w:hAnsi="Garamond" w:cs="Times New Roman"/>
          <w:b/>
          <w:lang w:eastAsia="ar-SA"/>
        </w:rPr>
        <w:t xml:space="preserve"> – Spektrofotometr do pomiaru stężenia w </w:t>
      </w:r>
      <w:proofErr w:type="spellStart"/>
      <w:r w:rsidR="006E09C8" w:rsidRPr="008D1B98">
        <w:rPr>
          <w:rFonts w:ascii="Garamond" w:eastAsia="Times New Roman" w:hAnsi="Garamond" w:cs="Times New Roman"/>
          <w:b/>
          <w:lang w:eastAsia="ar-SA"/>
        </w:rPr>
        <w:t>nanokropli</w:t>
      </w:r>
      <w:proofErr w:type="spellEnd"/>
      <w:r w:rsidR="006E09C8" w:rsidRPr="008D1B98">
        <w:rPr>
          <w:rFonts w:ascii="Garamond" w:eastAsia="Times New Roman" w:hAnsi="Garamond" w:cs="Times New Roman"/>
          <w:b/>
          <w:lang w:eastAsia="ar-SA"/>
        </w:rPr>
        <w:t xml:space="preserve"> DNA/RNA/</w:t>
      </w:r>
      <w:proofErr w:type="spellStart"/>
      <w:r w:rsidR="006E09C8" w:rsidRPr="008D1B98">
        <w:rPr>
          <w:rFonts w:ascii="Garamond" w:eastAsia="Times New Roman" w:hAnsi="Garamond" w:cs="Times New Roman"/>
          <w:b/>
          <w:lang w:eastAsia="ar-SA"/>
        </w:rPr>
        <w:t>Oligo</w:t>
      </w:r>
      <w:proofErr w:type="spellEnd"/>
      <w:r w:rsidR="006E09C8" w:rsidRPr="008D1B98">
        <w:rPr>
          <w:rFonts w:ascii="Garamond" w:eastAsia="Times New Roman" w:hAnsi="Garamond" w:cs="Times New Roman"/>
          <w:b/>
          <w:lang w:eastAsia="ar-SA"/>
        </w:rPr>
        <w:t>/białek</w:t>
      </w:r>
      <w:r w:rsidR="006F2367" w:rsidRPr="008D1B98">
        <w:rPr>
          <w:rFonts w:ascii="Garamond" w:eastAsia="Times New Roman" w:hAnsi="Garamond" w:cs="Times New Roman"/>
          <w:b/>
          <w:lang w:eastAsia="ar-SA"/>
        </w:rPr>
        <w:t xml:space="preserve"> </w:t>
      </w:r>
      <w:r>
        <w:rPr>
          <w:rFonts w:ascii="Garamond" w:eastAsia="Times New Roman" w:hAnsi="Garamond" w:cs="Times New Roman"/>
          <w:b/>
          <w:lang w:eastAsia="ar-SA"/>
        </w:rPr>
        <w:t>(1 sztuka)</w:t>
      </w:r>
    </w:p>
    <w:p w:rsidR="006E09C8" w:rsidRPr="008D1B98" w:rsidRDefault="006E09C8" w:rsidP="006E09C8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6E09C8" w:rsidRPr="008D1B98" w:rsidRDefault="006E09C8" w:rsidP="006E09C8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>Uwagi i objaśnienia:</w:t>
      </w:r>
    </w:p>
    <w:p w:rsidR="006E09C8" w:rsidRPr="008D1B98" w:rsidRDefault="006E09C8" w:rsidP="006E09C8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6E09C8" w:rsidRPr="008D1B98" w:rsidRDefault="006E09C8" w:rsidP="006E09C8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6E09C8" w:rsidRPr="008D1B98" w:rsidRDefault="006E09C8" w:rsidP="006E09C8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:rsidR="006E09C8" w:rsidRPr="008D1B98" w:rsidRDefault="006E09C8" w:rsidP="006E09C8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:rsidR="006E09C8" w:rsidRPr="008D1B98" w:rsidRDefault="006E09C8" w:rsidP="006E09C8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6E09C8" w:rsidRPr="008D1B98" w:rsidRDefault="006E09C8" w:rsidP="006E09C8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>Nazwa i typ: .............................................................</w:t>
      </w:r>
    </w:p>
    <w:p w:rsidR="006E09C8" w:rsidRPr="008D1B98" w:rsidRDefault="006E09C8" w:rsidP="006E09C8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6E09C8" w:rsidRPr="008D1B98" w:rsidRDefault="006E09C8" w:rsidP="006E09C8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>Producent / kraj produkcji: ........................................................</w:t>
      </w:r>
    </w:p>
    <w:p w:rsidR="006E09C8" w:rsidRPr="008D1B98" w:rsidRDefault="006E09C8" w:rsidP="006E09C8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6E09C8" w:rsidRPr="008D1B98" w:rsidRDefault="006E09C8" w:rsidP="006E09C8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8D1B98">
        <w:rPr>
          <w:rFonts w:ascii="Garamond" w:eastAsia="Lucida Sans Unicode" w:hAnsi="Garamond" w:cs="Times New Roman"/>
          <w:kern w:val="3"/>
          <w:lang w:eastAsia="zh-CN" w:bidi="hi-IN"/>
        </w:rPr>
        <w:t>Rok produkcji (min. 2018): …..............</w:t>
      </w:r>
    </w:p>
    <w:p w:rsidR="006E09C8" w:rsidRPr="008D1B98" w:rsidRDefault="006E09C8" w:rsidP="006E09C8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7499"/>
        <w:gridCol w:w="3397"/>
      </w:tblGrid>
      <w:tr w:rsidR="00E97C15" w:rsidRPr="003D1D84" w:rsidTr="00E97C15">
        <w:trPr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3D1D84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Pozycja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3D1D84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3D1D84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brutto</w:t>
            </w:r>
          </w:p>
          <w:p w:rsidR="00E97C15" w:rsidRPr="003D1D84" w:rsidRDefault="00E97C15" w:rsidP="00E5024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</w:p>
        </w:tc>
      </w:tr>
      <w:tr w:rsidR="00E97C15" w:rsidRPr="003D1D84" w:rsidTr="00E97C15">
        <w:trPr>
          <w:trHeight w:val="70"/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3D1D84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3D1D84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3D1D84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3</w:t>
            </w:r>
          </w:p>
        </w:tc>
      </w:tr>
      <w:tr w:rsidR="00E97C15" w:rsidRPr="003D1D84" w:rsidTr="00E97C15">
        <w:trPr>
          <w:trHeight w:val="62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5" w:rsidRPr="003D1D84" w:rsidRDefault="00E97C15" w:rsidP="00E502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3D1D84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5" w:rsidRPr="003D1D84" w:rsidRDefault="00E97C15" w:rsidP="00E5024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3D1D84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 xml:space="preserve">Spektrofotometr do pomiaru stężenia w </w:t>
            </w:r>
            <w:proofErr w:type="spellStart"/>
            <w:r w:rsidRPr="003D1D84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nanokropli</w:t>
            </w:r>
            <w:proofErr w:type="spellEnd"/>
            <w:r w:rsidRPr="003D1D84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 xml:space="preserve"> DNA/RNA/</w:t>
            </w:r>
            <w:proofErr w:type="spellStart"/>
            <w:r w:rsidRPr="003D1D84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Oligo</w:t>
            </w:r>
            <w:proofErr w:type="spellEnd"/>
            <w:r w:rsidRPr="003D1D84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/białek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E97C15" w:rsidRPr="003D1D84" w:rsidTr="00E97C15">
        <w:trPr>
          <w:trHeight w:val="52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5" w:rsidRPr="003D1D84" w:rsidRDefault="00E97C15" w:rsidP="00E5024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3D1D84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5" w:rsidRPr="003D1D84" w:rsidRDefault="00E97C15" w:rsidP="00E5024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</w:pPr>
            <w:r w:rsidRPr="003D1D84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E97C15" w:rsidRPr="003D1D84" w:rsidTr="00E50243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</w:pPr>
            <w:r w:rsidRPr="003D1D84"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7C15" w:rsidRPr="003D1D84" w:rsidRDefault="00E97C15" w:rsidP="00E5024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</w:tbl>
    <w:p w:rsidR="00E97C15" w:rsidRDefault="00E97C15">
      <w:pPr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br w:type="page"/>
      </w:r>
    </w:p>
    <w:p w:rsidR="006E09C8" w:rsidRPr="008D1B98" w:rsidRDefault="006E09C8" w:rsidP="00E97C15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  <w:r w:rsidRPr="008D1B98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:rsidR="006E09C8" w:rsidRPr="008D1B98" w:rsidRDefault="006E09C8" w:rsidP="008D1B98">
      <w:pPr>
        <w:suppressAutoHyphens/>
        <w:spacing w:after="0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"/>
        <w:gridCol w:w="649"/>
        <w:gridCol w:w="6800"/>
        <w:gridCol w:w="2410"/>
        <w:gridCol w:w="2410"/>
        <w:gridCol w:w="2264"/>
      </w:tblGrid>
      <w:tr w:rsidR="006E09C8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09C8" w:rsidRPr="008D1B98" w:rsidRDefault="006E09C8" w:rsidP="008D1B98">
            <w:pPr>
              <w:spacing w:after="0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keepNext/>
              <w:widowControl w:val="0"/>
              <w:shd w:val="clear" w:color="auto" w:fill="FFFFFF"/>
              <w:tabs>
                <w:tab w:val="num" w:pos="0"/>
              </w:tabs>
              <w:suppressAutoHyphens/>
              <w:spacing w:after="0"/>
              <w:ind w:left="5"/>
              <w:outlineLvl w:val="0"/>
              <w:rPr>
                <w:rFonts w:ascii="Garamond" w:eastAsia="Andale Sans UI" w:hAnsi="Garamond" w:cs="Times New Roman"/>
                <w:i/>
                <w:iCs/>
                <w:color w:val="000000" w:themeColor="text1"/>
                <w:kern w:val="2"/>
              </w:rPr>
            </w:pPr>
            <w:r w:rsidRPr="008D1B98">
              <w:rPr>
                <w:rFonts w:ascii="Garamond" w:eastAsia="Andale Sans UI" w:hAnsi="Garamond" w:cs="Times New Roman"/>
                <w:bCs/>
                <w:iCs/>
                <w:color w:val="000000" w:themeColor="text1"/>
                <w:kern w:val="2"/>
              </w:rPr>
              <w:t xml:space="preserve">Długość drogi optycznej w granicach: </w:t>
            </w:r>
          </w:p>
          <w:p w:rsidR="00E97C15" w:rsidRPr="008D1B98" w:rsidRDefault="00E97C15" w:rsidP="008D1B98">
            <w:pPr>
              <w:keepNext/>
              <w:widowControl w:val="0"/>
              <w:shd w:val="clear" w:color="auto" w:fill="FFFFFF"/>
              <w:tabs>
                <w:tab w:val="num" w:pos="0"/>
              </w:tabs>
              <w:suppressAutoHyphens/>
              <w:spacing w:after="0"/>
              <w:ind w:left="5"/>
              <w:outlineLvl w:val="0"/>
              <w:rPr>
                <w:rFonts w:ascii="Garamond" w:eastAsia="Andale Sans UI" w:hAnsi="Garamond" w:cs="Times New Roman"/>
                <w:b/>
                <w:i/>
                <w:iCs/>
                <w:color w:val="000000" w:themeColor="text1"/>
                <w:kern w:val="2"/>
              </w:rPr>
            </w:pPr>
            <w:r w:rsidRPr="008D1B98">
              <w:rPr>
                <w:rFonts w:ascii="Garamond" w:eastAsia="Andale Sans UI" w:hAnsi="Garamond" w:cs="Times New Roman"/>
                <w:bCs/>
                <w:iCs/>
                <w:color w:val="000000" w:themeColor="text1"/>
                <w:kern w:val="2"/>
              </w:rPr>
              <w:t>0.03, do 0,5 mm ustawiana automatycznie w zależności od stężenia próbki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Objętość mierzonej próbki: od minimum 0,5 µl niezależnie od stężenia próbki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pacing w:after="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8D1B98">
              <w:rPr>
                <w:rFonts w:ascii="Garamond" w:eastAsia="Times New Roman" w:hAnsi="Garamond" w:cs="Times New Roman"/>
                <w:color w:val="000000" w:themeColor="text1"/>
              </w:rPr>
              <w:t xml:space="preserve">Długość fali w granicach: 190-840 </w:t>
            </w:r>
            <w:proofErr w:type="spellStart"/>
            <w:r w:rsidRPr="008D1B98">
              <w:rPr>
                <w:rFonts w:ascii="Garamond" w:eastAsia="Times New Roman" w:hAnsi="Garamond" w:cs="Times New Roman"/>
                <w:color w:val="000000" w:themeColor="text1"/>
              </w:rPr>
              <w:t>nm</w:t>
            </w:r>
            <w:proofErr w:type="spellEnd"/>
            <w:r w:rsidRPr="008D1B98">
              <w:rPr>
                <w:rFonts w:ascii="Garamond" w:eastAsia="Times New Roman" w:hAnsi="Garamond" w:cs="Times New Roman"/>
                <w:color w:val="000000" w:themeColor="text1"/>
              </w:rPr>
              <w:t xml:space="preserve">, pełny zakres skanowania </w:t>
            </w:r>
          </w:p>
          <w:p w:rsidR="00E97C15" w:rsidRPr="008D1B98" w:rsidRDefault="00E97C15" w:rsidP="008D1B98">
            <w:pPr>
              <w:spacing w:after="0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8D1B98">
              <w:rPr>
                <w:rFonts w:ascii="Garamond" w:eastAsia="Times New Roman" w:hAnsi="Garamond" w:cs="Times New Roman"/>
                <w:color w:val="000000" w:themeColor="text1"/>
              </w:rPr>
              <w:t xml:space="preserve">Źródło światła – błyskowa lampa ksenonowa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8D1B98">
              <w:rPr>
                <w:rFonts w:ascii="Garamond" w:eastAsia="Times New Roman" w:hAnsi="Garamond" w:cs="Times New Roman"/>
                <w:color w:val="000000" w:themeColor="text1"/>
              </w:rPr>
              <w:t>Typ detektora: matryca CCD co najmniej 2048 elementów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Pomiar bezpośrednio w próbce bez użycia kuwet,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mikrokuwet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, końcówek pomiarowych, nakrywek – „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cups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Precyzja pomiaru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absorbancji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: 0,002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Dokładność pomiaru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absorbancji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: 1,5%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Dokładność długości fali 0,5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nm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Zakres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absorbancji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 w granicach: 0,015-750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Abs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Zakres pomiaru stężenia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dsDNA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: 0,75-37 500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ng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/µl oraz od 0,04mg/ml (BSA) do 1,125 mg/ml BSA bez potrzeby powtarzania pomiaru próbki o nieznanym stężeniu, bez konieczności zagęszczania lub rozcieńczania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E97C15" w:rsidRPr="008D1B98" w:rsidTr="00E97C15">
        <w:trPr>
          <w:gridBefore w:val="1"/>
          <w:wBefore w:w="63" w:type="dxa"/>
          <w:trHeight w:val="36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Czas całego cyklu pomiarowego &lt;3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sek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 łącznie z czyszczeniem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Statyw pomiarowy instrumentu nie może być  elementem wymiennym instrumentu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Pomiar wydajności wyznakowania sond fluorescencyjnych w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nanokropli</w:t>
            </w:r>
            <w:proofErr w:type="spellEnd"/>
          </w:p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Wymiary zewnętrzne urządzenia nie większe niż: 25 x 35  cm</w:t>
            </w:r>
          </w:p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Tak/podać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25x35</w:t>
            </w:r>
            <w:r>
              <w:rPr>
                <w:rFonts w:ascii="Garamond" w:eastAsia="Times New Roman" w:hAnsi="Garamond" w:cs="Times New Roman"/>
                <w:lang w:eastAsia="ar-SA"/>
              </w:rPr>
              <w:t>cm</w:t>
            </w:r>
            <w:r w:rsidRPr="008D1B98">
              <w:rPr>
                <w:rFonts w:ascii="Garamond" w:eastAsia="Times New Roman" w:hAnsi="Garamond" w:cs="Times New Roman"/>
                <w:lang w:eastAsia="ar-SA"/>
              </w:rPr>
              <w:t xml:space="preserve"> – 0 pkt</w:t>
            </w: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Mniejsze – 3 pkt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Urządzenie wyposażone w wbudowany  dotykowy, kolorowy ekran o przekątnej co najmniej 7 cali do sterowania urządzeniem.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Urządzenie powinno posiadać wewnętrzny mikroprocesor do pełnej obsługi </w:t>
            </w:r>
            <w:r w:rsidRPr="008D1B98">
              <w:rPr>
                <w:rFonts w:ascii="Garamond" w:eastAsia="Calibri" w:hAnsi="Garamond" w:cs="Times New Roman"/>
                <w:color w:val="000000" w:themeColor="text1"/>
              </w:rPr>
              <w:lastRenderedPageBreak/>
              <w:t>oprogramowania. Pomiar nie wymaga  zewnętrznego komputera.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Oprogramowanie sterujące mobilne z interfejsem graficznym.</w:t>
            </w:r>
          </w:p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Oprogramowanie w j. polskim.  </w:t>
            </w:r>
          </w:p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Możliwość tworzenia własnych krzywych standardowych (kalibracji, wzorcowych) oraz możliwość pomiaru białka metodą metodami kolorymetrycznymi,  metoda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Bradforda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,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Lowry`ego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,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Pierca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, BCA, spektrofotometryczna przy długości fali 280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nm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,</w:t>
            </w:r>
          </w:p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Metody pomiarowe dla ds. DNA,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ss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 DNA, RNA ,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oligonukletorydów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,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mikromacierzy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 możliwość wybierania grup długości fali przy jakiej ma być pomiar w aplikacji UV/VIS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Oprogramowanie musi pozwalać na eksport wyników do programu Excel lub równoważnego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Oprogramowanie musi pozwalać na tworzenie własnych metod z lub bez użycia krzywych standardowych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Oprogramowanie automatycznie wyświetla pełne spektrum UV-Vis od 190-840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nm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Oprogramowanie posiadające przycisk automatycznego pomiaru kolejnej próbki, moduł pozwalający na automatyczne przeliczanie stężeń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Urządzenie wyposażone w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Wi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-Fi, port Ethernet oraz 3 porty USB.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Urządzenie wyposażone w moduł pomiaru w kuwecie do pomiarów kinet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Wbudowany inkubator z możliwością podgrzewania kuwety w zakresie do 37ºC do 45°C dokładność +-0,5ºC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Długość drogi optycznej 10,5,2,1 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Limit detekcji dla modułu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kuwetowego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 nie gorszy niż 0,4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ng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/µl (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dsDNA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Stężenie próbki dla modułu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kuwetowego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 co najmniej 750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ng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/µl (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dsDNA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Możliwość podłączenia do urządzenia skanera bar kodów probówek 1D i 2D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Urządzenie musi posiadać wbudowany w urządzenie moduł do pomiarów fluorescencyjnych, która umożliwia pomiar od 0,5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pikogramów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/µl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dsDNA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 oraz musi być wyposażony w trzy LED-y jako źródło światła (niebieski LED ok. 470 </w:t>
            </w:r>
            <w:proofErr w:type="spellStart"/>
            <w:r w:rsidRPr="008D1B98">
              <w:rPr>
                <w:rFonts w:ascii="Garamond" w:eastAsia="Calibri" w:hAnsi="Garamond" w:cs="Times New Roman"/>
                <w:color w:val="000000" w:themeColor="text1"/>
              </w:rPr>
              <w:t>nm</w:t>
            </w:r>
            <w:proofErr w:type="spellEnd"/>
            <w:r w:rsidRPr="008D1B98">
              <w:rPr>
                <w:rFonts w:ascii="Garamond" w:eastAsia="Calibri" w:hAnsi="Garamond" w:cs="Times New Roman"/>
                <w:color w:val="000000" w:themeColor="text1"/>
              </w:rPr>
              <w:t xml:space="preserve">, zielony LED ok 525nm, czerwony LED ok 636nm, UV LED ok. 375nm). Moduł umożliwia pracę nie tylko z odczynnikami producenta </w:t>
            </w:r>
            <w:r w:rsidRPr="008D1B98">
              <w:rPr>
                <w:rFonts w:ascii="Garamond" w:eastAsia="Calibri" w:hAnsi="Garamond" w:cs="Times New Roman"/>
                <w:color w:val="000000" w:themeColor="text1"/>
              </w:rPr>
              <w:lastRenderedPageBreak/>
              <w:t>spektrofotometru.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gridBefore w:val="1"/>
          <w:wBefore w:w="63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rPr>
                <w:rFonts w:ascii="Garamond" w:eastAsia="Calibri" w:hAnsi="Garamond" w:cs="Times New Roman"/>
                <w:color w:val="000000" w:themeColor="text1"/>
              </w:rPr>
            </w:pPr>
            <w:r w:rsidRPr="008D1B98">
              <w:rPr>
                <w:rFonts w:ascii="Garamond" w:eastAsia="Calibri" w:hAnsi="Garamond" w:cs="Times New Roman"/>
                <w:color w:val="000000" w:themeColor="text1"/>
              </w:rPr>
              <w:t>Urządzenie musi posiadać możliwość podłączenia drukarki termicznej umożliwiającej wydruk wyników z urządzenia. Drukarka musi mieć możliwość podłączenia za pomocą portu USB.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pacing w:after="0"/>
              <w:jc w:val="center"/>
              <w:rPr>
                <w:rFonts w:ascii="Garamond" w:eastAsia="Calibri" w:hAnsi="Garamond" w:cs="Times New Roman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3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8D1B98">
            <w:pPr>
              <w:suppressAutoHyphens/>
              <w:spacing w:after="0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E97C15" w:rsidRPr="008D1B98" w:rsidTr="00E97C15">
        <w:trPr>
          <w:trHeight w:val="672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E97C15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97C15" w:rsidRPr="008D1B98" w:rsidTr="00E97C15"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97C15" w:rsidRPr="008D1B98" w:rsidRDefault="00E97C15" w:rsidP="008D1B98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97C15" w:rsidRPr="008D1B98" w:rsidTr="00E97C15"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97C15" w:rsidRPr="008D1B98" w:rsidRDefault="00E97C15" w:rsidP="008D1B98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97C15" w:rsidRPr="008D1B98" w:rsidTr="00E97C15"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97C15" w:rsidRPr="008D1B98" w:rsidRDefault="00E97C15" w:rsidP="008D1B98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97C15" w:rsidRPr="008D1B98" w:rsidTr="00E97C15">
        <w:trPr>
          <w:trHeight w:val="614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97C15" w:rsidRPr="008D1B98" w:rsidRDefault="00E97C15" w:rsidP="008D1B98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97C15" w:rsidRPr="008D1B98" w:rsidTr="00E97C15"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97C15" w:rsidRPr="008D1B98" w:rsidRDefault="00E97C15" w:rsidP="008D1B98">
            <w:pPr>
              <w:suppressAutoHyphens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E50243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6E09C8" w:rsidRPr="008D1B98" w:rsidRDefault="006E09C8" w:rsidP="008D1B98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</w:p>
    <w:tbl>
      <w:tblPr>
        <w:tblpPr w:leftFromText="141" w:rightFromText="141" w:bottomFromText="200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</w:tblGrid>
      <w:tr w:rsidR="006E09C8" w:rsidRPr="008D1B98" w:rsidTr="006E09C8">
        <w:trPr>
          <w:trHeight w:val="19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C8" w:rsidRPr="008D1B98" w:rsidRDefault="006E09C8" w:rsidP="008D1B98">
            <w:pPr>
              <w:suppressAutoHyphens/>
              <w:spacing w:after="0"/>
              <w:rPr>
                <w:rFonts w:ascii="Garamond" w:eastAsia="Times New Roman" w:hAnsi="Garamond" w:cs="Times New Roman"/>
                <w:b/>
                <w:lang w:eastAsia="ar-SA"/>
              </w:rPr>
            </w:pPr>
          </w:p>
        </w:tc>
      </w:tr>
    </w:tbl>
    <w:p w:rsidR="006E09C8" w:rsidRPr="008D1B98" w:rsidRDefault="006E09C8" w:rsidP="00E97C15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  <w:r w:rsidRPr="008D1B98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2409"/>
        <w:gridCol w:w="2410"/>
        <w:gridCol w:w="2268"/>
      </w:tblGrid>
      <w:tr w:rsidR="006E09C8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E09C8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E97C15" w:rsidRDefault="006E09C8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9C8" w:rsidRPr="008D1B98" w:rsidRDefault="006E09C8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9C8" w:rsidRPr="008D1B98" w:rsidRDefault="006E09C8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:rsidR="006E09C8" w:rsidRPr="008D1B98" w:rsidRDefault="006E09C8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tabs>
                <w:tab w:val="left" w:pos="426"/>
              </w:tabs>
              <w:suppressAutoHyphens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 w:cs="Times New Roman"/>
                <w:lang w:eastAsia="ar-SA"/>
              </w:rPr>
              <w:t>)</w:t>
            </w:r>
            <w:r w:rsidRPr="008D1B98">
              <w:rPr>
                <w:rFonts w:ascii="Garamond" w:eastAsia="Times New Roman" w:hAnsi="Garamond" w:cs="Times New Roman"/>
                <w:lang w:eastAsia="ar-SA"/>
              </w:rPr>
              <w:t xml:space="preserve"> rozumianych jako </w:t>
            </w:r>
            <w:r w:rsidRPr="008D1B98">
              <w:rPr>
                <w:rFonts w:ascii="Garamond" w:eastAsia="Times New Roman" w:hAnsi="Garamond" w:cs="Times New Roman"/>
                <w:bCs/>
                <w:lang w:eastAsia="ar-SA"/>
              </w:rPr>
              <w:t xml:space="preserve">dni od poniedziałku do piątku, </w:t>
            </w:r>
            <w:r w:rsidRPr="008D1B98">
              <w:rPr>
                <w:rFonts w:ascii="Garamond" w:eastAsia="Times New Roman" w:hAnsi="Garamond" w:cs="Times New Roman"/>
                <w:lang w:eastAsia="ar-SA"/>
              </w:rPr>
              <w:t xml:space="preserve">z wyjątkiem świąt i </w:t>
            </w:r>
            <w:r w:rsidRPr="008D1B98">
              <w:rPr>
                <w:rFonts w:ascii="Garamond" w:eastAsia="Times New Roman" w:hAnsi="Garamond" w:cs="Times New Roman"/>
                <w:bCs/>
                <w:lang w:eastAsia="ar-SA"/>
              </w:rPr>
              <w:t>dni</w:t>
            </w:r>
            <w:r w:rsidRPr="008D1B98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 w:rsidRPr="008D1B98">
              <w:rPr>
                <w:rFonts w:ascii="Garamond" w:eastAsia="Times New Roman" w:hAnsi="Garamond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3 dni – 0 pkt;</w:t>
            </w:r>
          </w:p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1 dzień – 5 pkt, 2 dni – 3 pkt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E97C15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 xml:space="preserve">Czas na naprawę usterki – do 7 dni, a w przypadku potrzeby sprowadzenia </w:t>
            </w:r>
            <w:r w:rsidRPr="008D1B98">
              <w:rPr>
                <w:rFonts w:ascii="Garamond" w:eastAsia="Times New Roman" w:hAnsi="Garamond" w:cs="Times New Roman"/>
                <w:lang w:eastAsia="ar-SA"/>
              </w:rPr>
              <w:lastRenderedPageBreak/>
              <w:t>części zamiennych do - 14 dni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8D1B98">
              <w:rPr>
                <w:rFonts w:ascii="Garamond" w:eastAsia="Times New Roman" w:hAnsi="Garamond" w:cs="Times New Roman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E16D59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Urządzenie zastępcze w przypadku niewykonania</w:t>
            </w:r>
            <w:r w:rsidR="00E16D59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8D1B98">
              <w:rPr>
                <w:rFonts w:ascii="Garamond" w:eastAsia="Times New Roman" w:hAnsi="Garamond" w:cs="Times New Roman"/>
                <w:lang w:eastAsia="ar-SA"/>
              </w:rPr>
              <w:t xml:space="preserve">naprawy </w:t>
            </w:r>
            <w:r w:rsidR="00E16D59" w:rsidRPr="00E16D59">
              <w:rPr>
                <w:rFonts w:ascii="Garamond" w:eastAsia="Times New Roman" w:hAnsi="Garamond" w:cs="Times New Roman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uppressAutoHyphens/>
              <w:autoSpaceDE w:val="0"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 – 3 pkt.</w:t>
            </w:r>
          </w:p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6E09C8" w:rsidRPr="008D1B98" w:rsidRDefault="006E09C8" w:rsidP="008D1B98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</w:p>
    <w:p w:rsidR="006E09C8" w:rsidRPr="008D1B98" w:rsidRDefault="006E09C8" w:rsidP="00E97C15">
      <w:pPr>
        <w:suppressAutoHyphens/>
        <w:spacing w:after="0"/>
        <w:rPr>
          <w:rFonts w:ascii="Garamond" w:eastAsia="Times New Roman" w:hAnsi="Garamond" w:cs="Times New Roman"/>
          <w:b/>
          <w:lang w:eastAsia="ar-SA"/>
        </w:rPr>
      </w:pPr>
      <w:r w:rsidRPr="008D1B98">
        <w:rPr>
          <w:rFonts w:ascii="Garamond" w:eastAsia="Times New Roman" w:hAnsi="Garamond" w:cs="Times New Roman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2409"/>
        <w:gridCol w:w="2410"/>
        <w:gridCol w:w="2268"/>
      </w:tblGrid>
      <w:tr w:rsidR="006E09C8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9C8" w:rsidRPr="008D1B98" w:rsidRDefault="006E09C8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09C8" w:rsidRPr="008D1B98" w:rsidRDefault="006E09C8" w:rsidP="008D1B98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E97C15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Instrukcja obsługi w języku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polskim w formie drukowanej </w:t>
            </w:r>
            <w:r w:rsidRPr="008D1B98">
              <w:rPr>
                <w:rFonts w:ascii="Garamond" w:eastAsia="Times New Roman" w:hAnsi="Garamond" w:cs="Times New Roman"/>
                <w:lang w:eastAsia="ar-SA"/>
              </w:rPr>
              <w:t>i elektronicznej (pendrive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8D1B98" w:rsidTr="00E97C15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97C15" w:rsidRPr="00E97C15" w:rsidTr="00E97C1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E97C15" w:rsidRDefault="00E97C15" w:rsidP="00E97C1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C15" w:rsidRPr="008D1B98" w:rsidRDefault="00E97C15" w:rsidP="008D1B98">
            <w:pPr>
              <w:suppressAutoHyphens/>
              <w:snapToGrid w:val="0"/>
              <w:spacing w:after="0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1B9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C15" w:rsidRPr="008D1B98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97C15" w:rsidRPr="00E97C15" w:rsidRDefault="00E97C15" w:rsidP="008D1B98">
            <w:pPr>
              <w:suppressAutoHyphens/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97C15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</w:tbl>
    <w:p w:rsidR="006E09C8" w:rsidRPr="008D1B98" w:rsidRDefault="006E09C8" w:rsidP="006E09C8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:rsidR="0092333D" w:rsidRDefault="0092333D"/>
    <w:sectPr w:rsidR="0092333D" w:rsidSect="00E97C15">
      <w:headerReference w:type="default" r:id="rId8"/>
      <w:footerReference w:type="default" r:id="rId9"/>
      <w:pgSz w:w="16838" w:h="11906" w:orient="landscape"/>
      <w:pgMar w:top="1417" w:right="1417" w:bottom="1417" w:left="141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89" w:rsidRDefault="002D7C89" w:rsidP="008D1B98">
      <w:pPr>
        <w:spacing w:after="0" w:line="240" w:lineRule="auto"/>
      </w:pPr>
      <w:r>
        <w:separator/>
      </w:r>
    </w:p>
  </w:endnote>
  <w:endnote w:type="continuationSeparator" w:id="0">
    <w:p w:rsidR="002D7C89" w:rsidRDefault="002D7C89" w:rsidP="008D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193711"/>
      <w:docPartObj>
        <w:docPartGallery w:val="Page Numbers (Bottom of Page)"/>
        <w:docPartUnique/>
      </w:docPartObj>
    </w:sdtPr>
    <w:sdtEndPr/>
    <w:sdtContent>
      <w:p w:rsidR="008D1B98" w:rsidRDefault="008D1B9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D59">
          <w:rPr>
            <w:noProof/>
          </w:rPr>
          <w:t>5</w:t>
        </w:r>
        <w:r>
          <w:fldChar w:fldCharType="end"/>
        </w:r>
        <w:r>
          <w:t xml:space="preserve">                                    </w:t>
        </w:r>
        <w:r>
          <w:tab/>
        </w:r>
        <w:r>
          <w:tab/>
          <w:t xml:space="preserve">                                 </w:t>
        </w:r>
        <w:r w:rsidRPr="00E63072">
          <w:rPr>
            <w:rFonts w:ascii="Garamond" w:hAnsi="Garamond"/>
            <w:lang w:eastAsia="pl-PL"/>
          </w:rPr>
          <w:t xml:space="preserve"> </w:t>
        </w: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  <w:p w:rsidR="008D1B98" w:rsidRDefault="008D1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89" w:rsidRDefault="002D7C89" w:rsidP="008D1B98">
      <w:pPr>
        <w:spacing w:after="0" w:line="240" w:lineRule="auto"/>
      </w:pPr>
      <w:r>
        <w:separator/>
      </w:r>
    </w:p>
  </w:footnote>
  <w:footnote w:type="continuationSeparator" w:id="0">
    <w:p w:rsidR="002D7C89" w:rsidRDefault="002D7C89" w:rsidP="008D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98" w:rsidRPr="000931ED" w:rsidRDefault="008D1B98" w:rsidP="008D1B98">
    <w:pPr>
      <w:pStyle w:val="Nagwek"/>
      <w:tabs>
        <w:tab w:val="clear" w:pos="9072"/>
      </w:tabs>
      <w:rPr>
        <w:rFonts w:ascii="Garamond" w:hAnsi="Garamond"/>
        <w:color w:val="000000"/>
      </w:rPr>
    </w:pPr>
    <w:r w:rsidRPr="006A1115">
      <w:rPr>
        <w:rFonts w:ascii="Garamond" w:hAnsi="Garamond"/>
        <w:color w:val="000000"/>
      </w:rPr>
      <w:t>DFP.271.179.2018.LS</w:t>
    </w:r>
  </w:p>
  <w:p w:rsidR="008D1B98" w:rsidRDefault="008D1B98" w:rsidP="008D1B98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A352C6">
      <w:rPr>
        <w:rFonts w:ascii="Garamond" w:eastAsia="Times New Roman" w:hAnsi="Garamond"/>
        <w:lang w:eastAsia="pl-PL"/>
      </w:rPr>
      <w:t>Załącznik nr 1a do specyfikacji</w:t>
    </w:r>
  </w:p>
  <w:p w:rsidR="008D1B98" w:rsidRDefault="008D1B98" w:rsidP="008D1B98">
    <w:pPr>
      <w:pStyle w:val="Nagwek"/>
      <w:jc w:val="right"/>
      <w:rPr>
        <w:rFonts w:ascii="Garamond" w:eastAsia="Times New Roman" w:hAnsi="Garamond"/>
        <w:lang w:eastAsia="pl-PL"/>
      </w:rPr>
    </w:pPr>
    <w:r>
      <w:rPr>
        <w:rFonts w:ascii="Garamond" w:eastAsia="Times New Roman" w:hAnsi="Garamond"/>
        <w:lang w:eastAsia="pl-PL"/>
      </w:rPr>
      <w:t xml:space="preserve">Załącznik </w:t>
    </w:r>
    <w:r w:rsidR="00E97C15">
      <w:rPr>
        <w:rFonts w:ascii="Garamond" w:eastAsia="Times New Roman" w:hAnsi="Garamond"/>
        <w:lang w:eastAsia="pl-PL"/>
      </w:rPr>
      <w:t>nr ……</w:t>
    </w:r>
    <w:r>
      <w:rPr>
        <w:rFonts w:ascii="Garamond" w:eastAsia="Times New Roman" w:hAnsi="Garamond"/>
        <w:lang w:eastAsia="pl-PL"/>
      </w:rPr>
      <w:t xml:space="preserve"> do umowy</w:t>
    </w:r>
  </w:p>
  <w:p w:rsidR="00E97C15" w:rsidRDefault="00E97C15" w:rsidP="00E97C15">
    <w:pPr>
      <w:pStyle w:val="Nagwek"/>
      <w:jc w:val="center"/>
    </w:pPr>
    <w:r>
      <w:rPr>
        <w:rFonts w:ascii="Garamond" w:eastAsia="Times New Roman" w:hAnsi="Garamond"/>
        <w:lang w:eastAsia="pl-PL"/>
      </w:rPr>
      <w:t>Część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684734EB"/>
    <w:multiLevelType w:val="hybridMultilevel"/>
    <w:tmpl w:val="4EAC9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C8"/>
    <w:rsid w:val="001B3B73"/>
    <w:rsid w:val="00213F10"/>
    <w:rsid w:val="002D7C89"/>
    <w:rsid w:val="003D1D84"/>
    <w:rsid w:val="005B0F86"/>
    <w:rsid w:val="006E09C8"/>
    <w:rsid w:val="006F2367"/>
    <w:rsid w:val="008D1B98"/>
    <w:rsid w:val="0092333D"/>
    <w:rsid w:val="00AE7F68"/>
    <w:rsid w:val="00E16D59"/>
    <w:rsid w:val="00E97C15"/>
    <w:rsid w:val="00F2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09C8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09C8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E09C8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E09C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E09C8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09C8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E09C8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E09C8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E09C8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E09C8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6E09C8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8D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B98"/>
  </w:style>
  <w:style w:type="paragraph" w:styleId="Stopka">
    <w:name w:val="footer"/>
    <w:basedOn w:val="Normalny"/>
    <w:link w:val="StopkaZnak"/>
    <w:uiPriority w:val="99"/>
    <w:unhideWhenUsed/>
    <w:rsid w:val="008D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B98"/>
  </w:style>
  <w:style w:type="paragraph" w:styleId="Akapitzlist">
    <w:name w:val="List Paragraph"/>
    <w:basedOn w:val="Normalny"/>
    <w:uiPriority w:val="34"/>
    <w:qFormat/>
    <w:rsid w:val="00E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09C8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09C8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E09C8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E09C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E09C8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09C8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E09C8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E09C8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E09C8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E09C8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6E09C8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8D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B98"/>
  </w:style>
  <w:style w:type="paragraph" w:styleId="Stopka">
    <w:name w:val="footer"/>
    <w:basedOn w:val="Normalny"/>
    <w:link w:val="StopkaZnak"/>
    <w:uiPriority w:val="99"/>
    <w:unhideWhenUsed/>
    <w:rsid w:val="008D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B98"/>
  </w:style>
  <w:style w:type="paragraph" w:styleId="Akapitzlist">
    <w:name w:val="List Paragraph"/>
    <w:basedOn w:val="Normalny"/>
    <w:uiPriority w:val="34"/>
    <w:qFormat/>
    <w:rsid w:val="00E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6</cp:revision>
  <dcterms:created xsi:type="dcterms:W3CDTF">2018-09-11T18:35:00Z</dcterms:created>
  <dcterms:modified xsi:type="dcterms:W3CDTF">2018-09-21T05:50:00Z</dcterms:modified>
</cp:coreProperties>
</file>