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48" w:rsidRDefault="00647448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D65FB1" w:rsidRDefault="00647448" w:rsidP="00647448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647448" w:rsidRPr="00D65FB1" w:rsidRDefault="00D65FB1" w:rsidP="00D65FB1">
      <w:pPr>
        <w:tabs>
          <w:tab w:val="left" w:pos="1605"/>
          <w:tab w:val="center" w:pos="7002"/>
        </w:tabs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ab/>
      </w: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ab/>
        <w:t>Część 9.</w:t>
      </w:r>
    </w:p>
    <w:p w:rsidR="00647448" w:rsidRPr="00814F28" w:rsidRDefault="00647448" w:rsidP="008B4859">
      <w:pPr>
        <w:tabs>
          <w:tab w:val="center" w:pos="6096"/>
          <w:tab w:val="left" w:pos="12191"/>
        </w:tabs>
        <w:spacing w:before="100" w:beforeAutospacing="1" w:after="100" w:afterAutospacing="1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M</w:t>
      </w:r>
      <w:r w:rsidRPr="00392803">
        <w:rPr>
          <w:rFonts w:ascii="Century Gothic" w:hAnsi="Century Gothic" w:cs="Times New Roman"/>
          <w:b/>
          <w:sz w:val="18"/>
          <w:szCs w:val="18"/>
        </w:rPr>
        <w:t>o</w:t>
      </w:r>
      <w:r w:rsidR="00762492">
        <w:rPr>
          <w:rFonts w:ascii="Century Gothic" w:hAnsi="Century Gothic" w:cs="Times New Roman"/>
          <w:b/>
          <w:sz w:val="18"/>
          <w:szCs w:val="18"/>
        </w:rPr>
        <w:t>nitor głębokości znieczulenia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Pr="00392803">
        <w:rPr>
          <w:rFonts w:ascii="Century Gothic" w:hAnsi="Century Gothic" w:cs="Times New Roman"/>
          <w:b/>
          <w:sz w:val="18"/>
          <w:szCs w:val="18"/>
        </w:rPr>
        <w:t>–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8D5DF5">
        <w:rPr>
          <w:rFonts w:ascii="Century Gothic" w:hAnsi="Century Gothic" w:cs="Times New Roman"/>
          <w:b/>
          <w:sz w:val="18"/>
          <w:szCs w:val="18"/>
        </w:rPr>
        <w:t>10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5468" w:rsidRPr="00814F28" w:rsidRDefault="005A5468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5A546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5A5468" w:rsidRPr="00DB050A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D65FB1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D65FB1" w:rsidRDefault="00D65FB1">
      <w:pPr>
        <w:rPr>
          <w:rFonts w:ascii="Century Gothic" w:eastAsia="Lucida Sans Unicode" w:hAnsi="Century Gothic" w:cs="Times New Roman"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sz w:val="18"/>
          <w:szCs w:val="18"/>
        </w:rPr>
        <w:br w:type="page"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65FB1" w:rsidRDefault="00D65FB1" w:rsidP="00D65FB1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D65FB1" w:rsidRPr="00093CB2" w:rsidTr="00B66F6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65FB1" w:rsidRPr="00093CB2" w:rsidRDefault="00D65FB1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5FB1" w:rsidRPr="00093CB2" w:rsidRDefault="00D65FB1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5FB1" w:rsidRPr="00093CB2" w:rsidRDefault="00D65FB1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5FB1" w:rsidRPr="00093CB2" w:rsidRDefault="00D65FB1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D65FB1" w:rsidRPr="00293D9C" w:rsidTr="00B66F6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65FB1" w:rsidRPr="00293D9C" w:rsidRDefault="00D65FB1" w:rsidP="00B66F6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293D9C">
              <w:rPr>
                <w:rFonts w:ascii="Garamond" w:hAnsi="Garamond" w:cs="Times New Roman"/>
                <w:b/>
              </w:rPr>
              <w:t>Monitor głębokości znieczulenia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65FB1" w:rsidRPr="00293D9C" w:rsidRDefault="00D65FB1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293D9C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B1" w:rsidRPr="00293D9C" w:rsidRDefault="00D65FB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FB1" w:rsidRPr="00293D9C" w:rsidRDefault="00D65FB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D65FB1" w:rsidRPr="00093CB2" w:rsidRDefault="00D65FB1" w:rsidP="00D65FB1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D65FB1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B1" w:rsidRPr="00093CB2" w:rsidRDefault="00D65FB1" w:rsidP="00B66F66">
            <w:pPr>
              <w:rPr>
                <w:rFonts w:ascii="Garamond" w:eastAsia="Calibri" w:hAnsi="Garamond" w:cs="Times New Roman"/>
                <w:kern w:val="2"/>
              </w:rPr>
            </w:pPr>
            <w:bookmarkStart w:id="0" w:name="_GoBack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65FB1" w:rsidRPr="00093CB2" w:rsidRDefault="00D65FB1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bookmarkEnd w:id="0"/>
      <w:tr w:rsidR="00D65FB1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FB1" w:rsidRPr="00093CB2" w:rsidRDefault="00D65FB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FB1" w:rsidRPr="00093CB2" w:rsidRDefault="00D65FB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D65FB1" w:rsidRPr="00093CB2" w:rsidRDefault="00D65FB1" w:rsidP="00D65FB1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D65FB1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65FB1" w:rsidRPr="00093CB2" w:rsidRDefault="00D65FB1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D65FB1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5FB1" w:rsidRPr="00093CB2" w:rsidRDefault="00D65FB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D65FB1" w:rsidRPr="00093CB2" w:rsidRDefault="00D65FB1" w:rsidP="00D65FB1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D65FB1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65FB1" w:rsidRPr="00093CB2" w:rsidRDefault="00D65FB1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5FB1" w:rsidRPr="00093CB2" w:rsidRDefault="00D65FB1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647448" w:rsidRPr="00814F28" w:rsidRDefault="00647448" w:rsidP="0064744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65FB1" w:rsidRDefault="00D65FB1">
      <w:pPr>
        <w:rPr>
          <w:rFonts w:ascii="Century Gothic" w:eastAsia="Lucida Sans Unicode" w:hAnsi="Century Gothic" w:cs="Times New Roman"/>
          <w:b/>
          <w:bCs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br w:type="page"/>
      </w:r>
    </w:p>
    <w:p w:rsidR="00647448" w:rsidRPr="00814F28" w:rsidRDefault="00647448" w:rsidP="0064744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p w:rsidR="00647448" w:rsidRPr="00814F28" w:rsidRDefault="00647448" w:rsidP="0064744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7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3686"/>
        <w:gridCol w:w="1843"/>
      </w:tblGrid>
      <w:tr w:rsidR="00647448" w:rsidRPr="00814F28" w:rsidTr="001D2D8A">
        <w:tc>
          <w:tcPr>
            <w:tcW w:w="709" w:type="dxa"/>
            <w:vAlign w:val="center"/>
          </w:tcPr>
          <w:p w:rsidR="00647448" w:rsidRPr="00814F28" w:rsidRDefault="00647448" w:rsidP="001D2D8A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47448" w:rsidRPr="00814F28" w:rsidRDefault="00647448" w:rsidP="001D2D8A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7448" w:rsidRPr="00814F28" w:rsidRDefault="00647448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7448" w:rsidRPr="00814F28" w:rsidRDefault="00647448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7448" w:rsidRPr="00814F28" w:rsidRDefault="00647448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E56A2F" w:rsidRDefault="00C60D3B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Urządzenie do obiektywnej oceny głębokości znieczulenia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E56A2F" w:rsidRDefault="00C60D3B" w:rsidP="001D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Ocena poziomu analgezji na podstawie stymulacji elektrycznej układu współczulnego i pomiar</w:t>
            </w:r>
            <w:r w:rsidR="00346E51"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 odruchu źrenicznego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3D40CF" w:rsidRDefault="00C60D3B" w:rsidP="001D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Ocena stanu neurologicznego i skuteczności analgezji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C60D3B" w:rsidP="000C0D71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Badanie reakcji układu na automatyczną stymulację elektryczną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C60D3B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Pomiar </w:t>
            </w:r>
            <w:r w:rsidR="00346E51"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współczynnika PPI PRD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C60D3B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Zintegrowane </w:t>
            </w:r>
            <w:r w:rsidR="00346E51"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źródło światła, kamera optyczna oraz IR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C60D3B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Stymulator elektryczny z elektrodami. Stymulacja w trybie automatycznym i ręcznym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C60D3B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Urządzenie wyposażone w muszlę oczną do rejestracji odruchu, która uniezależnia pomiar od czynników zewnętrznych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C60D3B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</w:t>
            </w:r>
            <w:r w:rsidR="00346E51"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itor z wbudowanym stymulatorem nerwów z odprowadzeniami do podłączenia elektrod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C60D3B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Przenośny monitor zasilany z ekranem dotykowym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C60D3B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Monitor wyposażony w kolorowy, dotykowy ekran do prezentacji wyników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6E51" w:rsidRPr="00346E51" w:rsidRDefault="00C60D3B" w:rsidP="00346E51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Obrazowanie/ prezentacja wyników:</w:t>
            </w:r>
          </w:p>
          <w:p w:rsidR="00346E51" w:rsidRPr="00346E51" w:rsidRDefault="00346E51" w:rsidP="00346E51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wykres prezentujący krzywą bazową i krzywą odchylenia</w:t>
            </w:r>
          </w:p>
          <w:p w:rsidR="00346E51" w:rsidRPr="00346E51" w:rsidRDefault="00346E51" w:rsidP="00346E51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średnica źrenicy</w:t>
            </w:r>
          </w:p>
          <w:p w:rsidR="00346E51" w:rsidRPr="00346E51" w:rsidRDefault="00346E51" w:rsidP="00346E51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odruch źreniczny wyrażony w % w stosunku do linii bazowej</w:t>
            </w:r>
          </w:p>
          <w:p w:rsidR="00647448" w:rsidRPr="00814F28" w:rsidRDefault="00346E51" w:rsidP="00346E51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- głębokość analgezji z automatyczną interpretacją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7448" w:rsidRPr="00814F28" w:rsidRDefault="00647448" w:rsidP="001D2D8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47448" w:rsidRDefault="00647448" w:rsidP="001D2D8A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346E51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46E5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PPI - Pomiar współczynnika odczuwania bólu na podstawie automatycznej stymulacji elektrycznej (zakres min.15 – 580 ma) i odpowiedzi poprzez odruch źreniczny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Default="00647448" w:rsidP="001D2D8A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814F28" w:rsidRDefault="00C60D3B" w:rsidP="001D2D8A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TETANUS - Pomiar współczynnika odczuwania bólu na podstawie stymulacji elektrycznej wybranym przez Użytkownika prądem i odpowiedzi poprzez odruch źreniczny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0C0D71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Default="000C0D71" w:rsidP="001D2D8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10 pkt;</w:t>
            </w:r>
          </w:p>
          <w:p w:rsidR="000C0D71" w:rsidRDefault="000C0D71" w:rsidP="001D2D8A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A53AC8" w:rsidRDefault="00C60D3B" w:rsidP="001D2D8A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PRD - Pomiar współczynnika odczuwania bólu na podstawie stymulacji receptorów nerwów czuciowych czynnikami medycznymi (chemiczne, fizyczne) i odpowiedzi poprzez odruch źreniczny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A53AC8" w:rsidRDefault="00C60D3B" w:rsidP="001D2D8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PLR - Pomiar odruchu źrenicznego na podstawie stymulacji światłem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0D3B" w:rsidRPr="00C60D3B" w:rsidRDefault="00C60D3B" w:rsidP="00C60D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Możliwość wykonywania pomiarów pupilometrycznych tj.:</w:t>
            </w:r>
          </w:p>
          <w:p w:rsidR="00C60D3B" w:rsidRPr="00C60D3B" w:rsidRDefault="00C60D3B" w:rsidP="00C60D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- wyjściowa średnica, maksymalny skurcz</w:t>
            </w:r>
          </w:p>
          <w:p w:rsidR="00C60D3B" w:rsidRPr="00C60D3B" w:rsidRDefault="00C60D3B" w:rsidP="00C60D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- wykres zmian średnicy</w:t>
            </w:r>
          </w:p>
          <w:p w:rsidR="00C60D3B" w:rsidRPr="00C60D3B" w:rsidRDefault="00C60D3B" w:rsidP="00C60D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- reaktywność latencji</w:t>
            </w:r>
          </w:p>
          <w:p w:rsidR="00C60D3B" w:rsidRPr="00C60D3B" w:rsidRDefault="00C60D3B" w:rsidP="00C60D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- reaktywność źrenicy (w %)</w:t>
            </w:r>
          </w:p>
          <w:p w:rsidR="00647448" w:rsidRPr="00A53AC8" w:rsidRDefault="00C60D3B" w:rsidP="00C60D3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- prędkość skurczu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A53AC8" w:rsidRDefault="00C60D3B" w:rsidP="000C0D7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 xml:space="preserve">Możliwość zapisu </w:t>
            </w:r>
            <w:r w:rsidR="000C0D71">
              <w:rPr>
                <w:rFonts w:ascii="Century Gothic" w:hAnsi="Century Gothic"/>
                <w:sz w:val="18"/>
                <w:szCs w:val="18"/>
              </w:rPr>
              <w:t>min. 5</w:t>
            </w:r>
            <w:r w:rsidRPr="00C60D3B">
              <w:rPr>
                <w:rFonts w:ascii="Century Gothic" w:hAnsi="Century Gothic"/>
                <w:sz w:val="18"/>
                <w:szCs w:val="18"/>
              </w:rPr>
              <w:t>00 pomiarów w pamięci a następnie ich eksportu na dowolną pamięć USB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A53AC8" w:rsidRDefault="00C60D3B" w:rsidP="001D2D8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 xml:space="preserve">Urządzenie wyposażone w komplet </w:t>
            </w:r>
            <w:r w:rsidR="000C0D71">
              <w:rPr>
                <w:rFonts w:ascii="Century Gothic" w:hAnsi="Century Gothic"/>
                <w:sz w:val="18"/>
                <w:szCs w:val="18"/>
              </w:rPr>
              <w:t xml:space="preserve">min. </w:t>
            </w:r>
            <w:r w:rsidRPr="00C60D3B">
              <w:rPr>
                <w:rFonts w:ascii="Century Gothic" w:hAnsi="Century Gothic"/>
                <w:sz w:val="18"/>
                <w:szCs w:val="18"/>
              </w:rPr>
              <w:t>30 podwójnych elektrod do stymulacji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47448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47448" w:rsidRPr="009E2E60" w:rsidRDefault="00647448" w:rsidP="009E2E60">
            <w:pPr>
              <w:pStyle w:val="Akapitzlist"/>
              <w:numPr>
                <w:ilvl w:val="0"/>
                <w:numId w:val="23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7448" w:rsidRPr="00A53AC8" w:rsidRDefault="00C60D3B" w:rsidP="001D2D8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C60D3B">
              <w:rPr>
                <w:rFonts w:ascii="Century Gothic" w:hAnsi="Century Gothic"/>
                <w:sz w:val="18"/>
                <w:szCs w:val="18"/>
              </w:rPr>
              <w:t>W komplecie etui, muszla oczna, ładowarka i stacja dokująca do ładowania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448" w:rsidRPr="00814F28" w:rsidRDefault="00647448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48" w:rsidRPr="00814F28" w:rsidRDefault="0064744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647448" w:rsidRDefault="00647448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647448" w:rsidRDefault="00647448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647448" w:rsidRDefault="00647448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A5468" w:rsidRDefault="005A546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Zdalna diagnostyka przez chronione łącze z możliwością rejestracji i odczytu online rejestrów błędów, oraz monitorowaniem systemu(uwaga –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D5" w:rsidRDefault="00124FD5" w:rsidP="002B10C5">
      <w:pPr>
        <w:spacing w:after="0" w:line="240" w:lineRule="auto"/>
      </w:pPr>
      <w:r>
        <w:separator/>
      </w:r>
    </w:p>
  </w:endnote>
  <w:endnote w:type="continuationSeparator" w:id="0">
    <w:p w:rsidR="00124FD5" w:rsidRDefault="00124FD5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8505FF" w:rsidRDefault="008505FF" w:rsidP="008505FF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9C">
          <w:rPr>
            <w:noProof/>
          </w:rPr>
          <w:t>1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D5" w:rsidRDefault="00124FD5" w:rsidP="002B10C5">
      <w:pPr>
        <w:spacing w:after="0" w:line="240" w:lineRule="auto"/>
      </w:pPr>
      <w:r>
        <w:separator/>
      </w:r>
    </w:p>
  </w:footnote>
  <w:footnote w:type="continuationSeparator" w:id="0">
    <w:p w:rsidR="00124FD5" w:rsidRDefault="00124FD5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65FB1" w:rsidRDefault="00D65FB1" w:rsidP="00D65FB1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D65FB1" w:rsidRPr="00F766BF" w:rsidRDefault="00D65FB1" w:rsidP="00D65FB1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24FD5"/>
    <w:rsid w:val="00140F74"/>
    <w:rsid w:val="00143ACB"/>
    <w:rsid w:val="00145EEE"/>
    <w:rsid w:val="00147B91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93D9C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3F5DF4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05FF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65FB1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239E48-3CF2-49E3-AC73-807ABA8E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100A-EDEE-464F-AC8B-7756B89F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1546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6</cp:revision>
  <cp:lastPrinted>2019-03-01T09:42:00Z</cp:lastPrinted>
  <dcterms:created xsi:type="dcterms:W3CDTF">2019-03-20T13:34:00Z</dcterms:created>
  <dcterms:modified xsi:type="dcterms:W3CDTF">2019-04-05T07:43:00Z</dcterms:modified>
</cp:coreProperties>
</file>