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3E" w:rsidRPr="006D3FC4" w:rsidRDefault="001866CA" w:rsidP="00032CAA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6D3FC4">
        <w:rPr>
          <w:rFonts w:ascii="Garamond" w:hAnsi="Garamond"/>
          <w:b/>
          <w:color w:val="002060"/>
          <w:sz w:val="22"/>
          <w:szCs w:val="22"/>
        </w:rPr>
        <w:t>O</w:t>
      </w:r>
      <w:r w:rsidR="005A643E" w:rsidRPr="006D3FC4">
        <w:rPr>
          <w:rFonts w:ascii="Garamond" w:hAnsi="Garamond"/>
          <w:b/>
          <w:color w:val="002060"/>
          <w:sz w:val="22"/>
          <w:szCs w:val="22"/>
        </w:rPr>
        <w:t>pis przedmiotu zamówienia</w:t>
      </w:r>
    </w:p>
    <w:p w:rsidR="00032CAA" w:rsidRPr="006D3FC4" w:rsidRDefault="005A643E" w:rsidP="00032CAA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6D3FC4">
        <w:rPr>
          <w:rFonts w:ascii="Garamond" w:hAnsi="Garamond"/>
          <w:b/>
          <w:color w:val="002060"/>
          <w:sz w:val="22"/>
          <w:szCs w:val="22"/>
        </w:rPr>
        <w:t>A</w:t>
      </w:r>
      <w:r w:rsidR="00032CAA" w:rsidRPr="006D3FC4">
        <w:rPr>
          <w:rFonts w:ascii="Garamond" w:hAnsi="Garamond"/>
          <w:b/>
          <w:color w:val="002060"/>
          <w:sz w:val="22"/>
          <w:szCs w:val="22"/>
        </w:rPr>
        <w:t>parat do znieczulenia og</w:t>
      </w:r>
      <w:r w:rsidR="004D4B3C">
        <w:rPr>
          <w:rFonts w:ascii="Garamond" w:hAnsi="Garamond"/>
          <w:b/>
          <w:color w:val="002060"/>
          <w:sz w:val="22"/>
          <w:szCs w:val="22"/>
        </w:rPr>
        <w:t>ólnego – wysokiej klasy (</w:t>
      </w:r>
      <w:r w:rsidR="00032CAA" w:rsidRPr="006D3FC4">
        <w:rPr>
          <w:rFonts w:ascii="Garamond" w:hAnsi="Garamond"/>
          <w:b/>
          <w:color w:val="002060"/>
          <w:sz w:val="22"/>
          <w:szCs w:val="22"/>
        </w:rPr>
        <w:t xml:space="preserve">do sal </w:t>
      </w:r>
      <w:r w:rsidR="009E4BFB" w:rsidRPr="006D3FC4">
        <w:rPr>
          <w:rFonts w:ascii="Garamond" w:hAnsi="Garamond"/>
          <w:b/>
          <w:color w:val="002060"/>
          <w:sz w:val="22"/>
          <w:szCs w:val="22"/>
        </w:rPr>
        <w:t xml:space="preserve">operacyjnych </w:t>
      </w:r>
      <w:r w:rsidR="00032CAA" w:rsidRPr="006D3FC4">
        <w:rPr>
          <w:rFonts w:ascii="Garamond" w:hAnsi="Garamond"/>
          <w:b/>
          <w:color w:val="002060"/>
          <w:sz w:val="22"/>
          <w:szCs w:val="22"/>
        </w:rPr>
        <w:t>hybrydowych)</w:t>
      </w:r>
      <w:r w:rsidR="004D4B3C">
        <w:rPr>
          <w:rFonts w:ascii="Garamond" w:hAnsi="Garamond"/>
          <w:b/>
          <w:color w:val="002060"/>
          <w:sz w:val="22"/>
          <w:szCs w:val="22"/>
        </w:rPr>
        <w:t xml:space="preserve"> – 2 sztuki</w:t>
      </w:r>
      <w:bookmarkStart w:id="0" w:name="_GoBack"/>
      <w:bookmarkEnd w:id="0"/>
    </w:p>
    <w:p w:rsidR="00032CAA" w:rsidRPr="006D3FC4" w:rsidRDefault="00032CAA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032CAA" w:rsidRPr="006D3FC4" w:rsidRDefault="00032CAA" w:rsidP="00032CAA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D3FC4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:rsidR="00032CAA" w:rsidRPr="006D3FC4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6D3FC4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032CAA" w:rsidRPr="006D3FC4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6D3FC4">
        <w:rPr>
          <w:rFonts w:ascii="Garamond" w:hAnsi="Garamond"/>
          <w:sz w:val="22"/>
          <w:szCs w:val="22"/>
        </w:rPr>
        <w:t>Parametry o określonych warunkach liczbowych ( „&gt;=”  lub „=&lt;” ) są również warunkami granicznymi, których niespełnienie spowoduje odrzucenie oferty. Wartość podana przy w/w znakach oznacza wartość wymaganą.</w:t>
      </w:r>
    </w:p>
    <w:p w:rsidR="00032CAA" w:rsidRPr="006D3FC4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6D3FC4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032CAA" w:rsidRPr="006D3FC4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6D3FC4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032CAA" w:rsidRPr="006D3FC4" w:rsidRDefault="00032CAA" w:rsidP="00032CAA">
      <w:pPr>
        <w:pStyle w:val="Skrconyadreszwrotny"/>
        <w:widowControl/>
        <w:numPr>
          <w:ilvl w:val="0"/>
          <w:numId w:val="19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6D3FC4">
        <w:rPr>
          <w:rFonts w:ascii="Garamond" w:hAnsi="Garamond"/>
          <w:sz w:val="22"/>
          <w:szCs w:val="22"/>
        </w:rPr>
        <w:t xml:space="preserve">Wykonawca gwarantuje niniejszym, że sprzęt jest fabrycznie nowy (rok produkcji </w:t>
      </w:r>
      <w:r w:rsidR="005A643E" w:rsidRPr="006D3FC4">
        <w:rPr>
          <w:rFonts w:ascii="Garamond" w:hAnsi="Garamond"/>
          <w:sz w:val="22"/>
          <w:szCs w:val="22"/>
        </w:rPr>
        <w:t xml:space="preserve">min. </w:t>
      </w:r>
      <w:r w:rsidRPr="006D3FC4">
        <w:rPr>
          <w:rFonts w:ascii="Garamond" w:hAnsi="Garamond"/>
          <w:sz w:val="22"/>
          <w:szCs w:val="22"/>
        </w:rPr>
        <w:t>2018</w:t>
      </w:r>
      <w:r w:rsidR="005A643E" w:rsidRPr="006D3FC4">
        <w:rPr>
          <w:rFonts w:ascii="Garamond" w:hAnsi="Garamond"/>
          <w:sz w:val="22"/>
          <w:szCs w:val="22"/>
        </w:rPr>
        <w:t xml:space="preserve"> r.</w:t>
      </w:r>
      <w:r w:rsidRPr="006D3FC4">
        <w:rPr>
          <w:rFonts w:ascii="Garamond" w:hAnsi="Garamond"/>
          <w:sz w:val="22"/>
          <w:szCs w:val="22"/>
        </w:rPr>
        <w:t>) nie jest rekondycjonowany, używany, powystawowy,  jest kompletny i do jego uruchomienia oraz stosowania zgodnie z przeznaczeniem nie jest konieczny zakup dodatkowych elementów i akcesoriów.</w:t>
      </w:r>
    </w:p>
    <w:p w:rsidR="001866CA" w:rsidRPr="006D3FC4" w:rsidRDefault="001866CA" w:rsidP="001866CA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032CAA" w:rsidRPr="006D3FC4" w:rsidTr="008C3609">
        <w:trPr>
          <w:trHeight w:val="652"/>
        </w:trPr>
        <w:tc>
          <w:tcPr>
            <w:tcW w:w="3936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6D3FC4" w:rsidTr="008C3609">
        <w:trPr>
          <w:trHeight w:val="548"/>
        </w:trPr>
        <w:tc>
          <w:tcPr>
            <w:tcW w:w="3936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6D3FC4" w:rsidTr="008C3609">
        <w:trPr>
          <w:trHeight w:val="429"/>
        </w:trPr>
        <w:tc>
          <w:tcPr>
            <w:tcW w:w="3936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6D3FC4" w:rsidTr="008C3609">
        <w:trPr>
          <w:trHeight w:val="549"/>
        </w:trPr>
        <w:tc>
          <w:tcPr>
            <w:tcW w:w="3936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32CAA" w:rsidRPr="006D3FC4" w:rsidTr="008C3609">
        <w:trPr>
          <w:trHeight w:val="629"/>
        </w:trPr>
        <w:tc>
          <w:tcPr>
            <w:tcW w:w="3936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032CAA" w:rsidRPr="006D3FC4" w:rsidRDefault="00032CAA" w:rsidP="008C3609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6D3FC4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032CAA" w:rsidRPr="006D3FC4" w:rsidRDefault="00032CAA" w:rsidP="00032CAA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032CAA" w:rsidRPr="006D3FC4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032CAA" w:rsidRPr="006D3FC4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3"/>
        <w:gridCol w:w="1818"/>
        <w:gridCol w:w="3631"/>
        <w:gridCol w:w="5222"/>
      </w:tblGrid>
      <w:tr w:rsidR="005A643E" w:rsidRPr="006D3FC4" w:rsidTr="00C00AF1">
        <w:trPr>
          <w:trHeight w:val="623"/>
        </w:trPr>
        <w:tc>
          <w:tcPr>
            <w:tcW w:w="3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643E" w:rsidRPr="006D3FC4" w:rsidRDefault="005A643E" w:rsidP="005A643E">
            <w:pPr>
              <w:rPr>
                <w:rFonts w:ascii="Garamond" w:hAnsi="Garamond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lastRenderedPageBreak/>
              <w:br w:type="page"/>
            </w:r>
            <w:r w:rsidRPr="006D3FC4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643E" w:rsidRPr="006D3FC4" w:rsidRDefault="005A643E" w:rsidP="005A64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FC4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643E" w:rsidRPr="006D3FC4" w:rsidRDefault="005A643E" w:rsidP="005A64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D3FC4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643E" w:rsidRPr="006D3FC4" w:rsidRDefault="005A643E" w:rsidP="005A643E">
            <w:pPr>
              <w:rPr>
                <w:rFonts w:ascii="Garamond" w:hAnsi="Garamond"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="0018759B" w:rsidRPr="006D3FC4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5A643E" w:rsidRPr="006D3FC4" w:rsidTr="00C00AF1">
        <w:trPr>
          <w:trHeight w:val="575"/>
        </w:trPr>
        <w:tc>
          <w:tcPr>
            <w:tcW w:w="3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643E" w:rsidRPr="006D3FC4" w:rsidRDefault="005A643E" w:rsidP="001866CA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sz w:val="22"/>
                <w:szCs w:val="22"/>
              </w:rPr>
              <w:t xml:space="preserve">Aparat do znieczulenia ogólnego wysokiej klasy </w:t>
            </w:r>
            <w:r w:rsidR="001866CA" w:rsidRPr="006D3FC4">
              <w:rPr>
                <w:rFonts w:ascii="Garamond" w:hAnsi="Garamond"/>
                <w:b/>
                <w:sz w:val="22"/>
                <w:szCs w:val="22"/>
              </w:rPr>
              <w:t xml:space="preserve">– do sal </w:t>
            </w:r>
            <w:r w:rsidR="009E4BFB" w:rsidRPr="006D3FC4">
              <w:rPr>
                <w:rFonts w:ascii="Garamond" w:hAnsi="Garamond"/>
                <w:b/>
                <w:sz w:val="22"/>
                <w:szCs w:val="22"/>
              </w:rPr>
              <w:t xml:space="preserve">operacyjnych </w:t>
            </w:r>
            <w:r w:rsidR="001866CA" w:rsidRPr="006D3FC4">
              <w:rPr>
                <w:rFonts w:ascii="Garamond" w:hAnsi="Garamond"/>
                <w:b/>
                <w:sz w:val="22"/>
                <w:szCs w:val="22"/>
              </w:rPr>
              <w:t>hybrydowych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643E" w:rsidRPr="006D3FC4" w:rsidRDefault="001866CA" w:rsidP="005A643E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D3FC4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3E" w:rsidRPr="006D3FC4" w:rsidRDefault="005A643E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3E" w:rsidRPr="006D3FC4" w:rsidRDefault="005A643E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A643E" w:rsidRPr="006D3FC4" w:rsidRDefault="005A643E" w:rsidP="005A643E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9"/>
        <w:gridCol w:w="5199"/>
      </w:tblGrid>
      <w:tr w:rsidR="001866CA" w:rsidRPr="006D3FC4" w:rsidTr="00270BBA">
        <w:trPr>
          <w:trHeight w:val="70"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66CA" w:rsidRPr="006D3FC4" w:rsidRDefault="001866CA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66CA" w:rsidRPr="006D3FC4" w:rsidRDefault="001866CA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6D3FC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6D3FC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="0018759B" w:rsidRPr="006D3FC4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</w:t>
            </w:r>
            <w:r w:rsidR="0018759B" w:rsidRPr="006D3FC4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instal</w:t>
            </w:r>
            <w:r w:rsidR="0018759B" w:rsidRPr="006D3FC4">
              <w:rPr>
                <w:rFonts w:ascii="Garamond" w:eastAsia="Calibri" w:hAnsi="Garamond"/>
                <w:sz w:val="22"/>
                <w:szCs w:val="22"/>
                <w:lang w:eastAsia="en-US"/>
              </w:rPr>
              <w:t>acji, uruchomienia w Nowej siedziby Szpitala (w zł):</w:t>
            </w:r>
          </w:p>
        </w:tc>
      </w:tr>
      <w:tr w:rsidR="001866CA" w:rsidRPr="006D3FC4" w:rsidTr="00270BBA">
        <w:trPr>
          <w:trHeight w:val="751"/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66CA" w:rsidRPr="006D3FC4" w:rsidRDefault="001866CA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199" w:type="dxa"/>
            <w:tcBorders>
              <w:left w:val="single" w:sz="4" w:space="0" w:color="auto"/>
            </w:tcBorders>
            <w:vAlign w:val="center"/>
          </w:tcPr>
          <w:p w:rsidR="001866CA" w:rsidRPr="006D3FC4" w:rsidRDefault="001866CA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A643E" w:rsidRPr="006D3FC4" w:rsidRDefault="005A643E" w:rsidP="005A643E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186"/>
      </w:tblGrid>
      <w:tr w:rsidR="005A643E" w:rsidRPr="006D3FC4" w:rsidTr="00270BBA">
        <w:trPr>
          <w:trHeight w:val="70"/>
          <w:jc w:val="right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643E" w:rsidRPr="006D3FC4" w:rsidRDefault="005A643E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6D3FC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6D3FC4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6D3FC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5A643E" w:rsidRPr="006D3FC4" w:rsidTr="00270BBA">
        <w:trPr>
          <w:trHeight w:val="631"/>
          <w:jc w:val="right"/>
        </w:trPr>
        <w:tc>
          <w:tcPr>
            <w:tcW w:w="5186" w:type="dxa"/>
            <w:tcBorders>
              <w:left w:val="single" w:sz="4" w:space="0" w:color="auto"/>
            </w:tcBorders>
            <w:vAlign w:val="center"/>
          </w:tcPr>
          <w:p w:rsidR="005A643E" w:rsidRPr="006D3FC4" w:rsidRDefault="005A643E" w:rsidP="005A643E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A643E" w:rsidRPr="006D3FC4" w:rsidRDefault="005A643E" w:rsidP="005A643E">
      <w:pPr>
        <w:rPr>
          <w:rFonts w:ascii="Garamond" w:hAnsi="Garamond"/>
          <w:sz w:val="22"/>
          <w:szCs w:val="22"/>
        </w:rPr>
      </w:pPr>
    </w:p>
    <w:p w:rsidR="005A643E" w:rsidRPr="006D3FC4" w:rsidRDefault="005A643E" w:rsidP="005A643E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5A643E" w:rsidRPr="006D3FC4" w:rsidTr="005A643E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643E" w:rsidRPr="006D3FC4" w:rsidRDefault="005A643E" w:rsidP="005A643E">
            <w:pPr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6D3FC4">
              <w:rPr>
                <w:rFonts w:ascii="Garamond" w:hAnsi="Garamond"/>
                <w:b/>
                <w:bCs/>
                <w:sz w:val="22"/>
                <w:szCs w:val="22"/>
              </w:rPr>
              <w:t>A+ B + C</w:t>
            </w:r>
            <w:r w:rsidRPr="006D3FC4">
              <w:rPr>
                <w:rFonts w:ascii="Garamond" w:hAnsi="Garamond"/>
                <w:bCs/>
                <w:sz w:val="22"/>
                <w:szCs w:val="22"/>
              </w:rPr>
              <w:t xml:space="preserve">: Cena brutto oferty </w:t>
            </w:r>
            <w:r w:rsidRPr="006D3FC4">
              <w:rPr>
                <w:rFonts w:ascii="Garamond" w:hAnsi="Garamond"/>
                <w:sz w:val="22"/>
                <w:szCs w:val="22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A643E" w:rsidRPr="006D3FC4" w:rsidRDefault="005A643E" w:rsidP="005A643E">
            <w:pPr>
              <w:snapToGrid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5A643E" w:rsidRPr="006D3FC4" w:rsidRDefault="005A643E" w:rsidP="005A643E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6D3FC4"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032CAA" w:rsidRPr="006D3FC4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6D3FC4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PARAMETRY TECHNICZNE I EKSPLOATACYJNE</w:t>
      </w:r>
    </w:p>
    <w:p w:rsidR="00032CAA" w:rsidRPr="006D3FC4" w:rsidRDefault="00032CAA" w:rsidP="00032CAA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032CAA" w:rsidRPr="006D3FC4" w:rsidTr="00090853">
        <w:trPr>
          <w:trHeight w:val="3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6D3FC4" w:rsidRDefault="00032CA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6D3FC4" w:rsidRDefault="001866C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032CAA"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6D3FC4" w:rsidRDefault="001866C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032CAA"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CAA" w:rsidRPr="006D3FC4" w:rsidRDefault="001866CA" w:rsidP="001866CA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032CAA"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2CAA" w:rsidRPr="006D3FC4" w:rsidRDefault="00032CAA" w:rsidP="008C3609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1866CA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CA" w:rsidRPr="006D3FC4" w:rsidRDefault="001866CA" w:rsidP="00032CA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CA" w:rsidRPr="006D3FC4" w:rsidRDefault="001866CA" w:rsidP="001866CA">
            <w:pPr>
              <w:spacing w:line="288" w:lineRule="auto"/>
              <w:rPr>
                <w:rFonts w:ascii="Garamond" w:eastAsia="Times New Roman" w:hAnsi="Garamond" w:cs="Arial"/>
                <w:b/>
                <w:bCs/>
                <w:color w:val="FF000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PARAMETRY ogólne: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A" w:rsidRPr="006D3FC4" w:rsidRDefault="00032CAA" w:rsidP="008F72C8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Aparat do znieczulania ogólnego, jezdny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 dostosowany do znieczulania ogólnego noworodków, dzieci i dorosłych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T</w:t>
            </w:r>
            <w:r w:rsidR="00090853" w:rsidRPr="006D3FC4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A" w:rsidRPr="006D3FC4" w:rsidRDefault="00032CAA" w:rsidP="008F72C8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Wymiary zewnętrzne (wysokość x szerokość x głębokość) [cm]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A" w:rsidRPr="006D3FC4" w:rsidRDefault="00032CAA" w:rsidP="008F72C8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Masa (kg)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53" w:rsidRPr="006D3FC4" w:rsidRDefault="00090853" w:rsidP="008F72C8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Zasilanie dostosowane do  230 [V], 50 [Hz]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Aparat wyposażony w 4 koła, hamulec centralny minimum dwóch kół. Koła nie rysujące wykładziny sali operacyjnej.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Zasilanie z sieci elektroenergetycznej 230 V AC 50 Hz.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Minimum 3 gniazda 230 V AC 50 Hz z separacją galwaniczną od sieci (transformator separujący) – gniazda z bezpiecznikami automatycznymi.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Zasilanie awaryjne zapewniające pracę aparatu przy zaniku napięcia sieci elektroenergetycznej przez co najmniej 30 min. i co najmniej 75 min. w warunkach standardowych.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Zasilanie w gazy (O2,powietrze,N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  <w:vertAlign w:val="subscript"/>
              </w:rPr>
              <w:t>2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O) z centralnej sieci szpitalnej.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Węże wysokociśnieniowe (O2,powietrze,N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  <w:vertAlign w:val="subscript"/>
              </w:rPr>
              <w:t>2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O) kodowane odpowiednimi kolorami.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Uchwyt do minimum 2-litrowej awaryjnej butli O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  <w:vertAlign w:val="subscript"/>
              </w:rPr>
              <w:t>2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.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Precyzyjne elektroniczne przepływomierze tlenu, podtlenku azotu i powietrza.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Szybka zmiana stężeń O2,</w:t>
            </w:r>
            <w:r w:rsidR="00B75B3C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 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środków wziewnych AA i przepływu świeżych gazów sterowana bezpośrednio z ekranu wentylatora (przyciski szybkiego dostępu pozwalające na skokową zmianę stężeń O2,</w:t>
            </w:r>
            <w:r w:rsidR="00B75B3C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 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środków wziewnych AA i przepływów). Możliwość płynnej regulacji stężenia O2 i przepływów.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Kalibracja przepływomierzy dostosowana do znieczulania z niskimi i minimalnymi przepływami gazów.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Wbudowany przepływomierz tlenu, niezależny od układu okrężnego, z regulowanym przepływem tlenu minimum do 10 l/min.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Elektroniczny mieszalnik gazów, zapewniający stałe stężenie tlenu przy zmianie przepływu świeżych gazów.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Wbudowany w aparat awaryjny przepływomierz O2 układu okrężnego.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Wbudowany w aparat awaryjny przepływomierz O2 układu okrężnego włączany automatycznie podczas awarii mieszalnika elektronicznego.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System automatycznego utrzymywania stężenia tlenu w mieszaninie z podtlenkiem azotu na poziomie minimum 25%.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Automatyczne odcięcie dopływu podtlenku azotu przy braku zasilania w tlen.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Wbudowana regulowana zastawka nadciśnieniowa APL wentylacji ręcznej.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Widoczne podczas pracy zastawki wdechowa i wydechowa.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– 5 pkt.</w:t>
            </w:r>
          </w:p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N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ie – 0 pkt.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Aparat wyposażony w blat do pisania i minimum dwie szuflady.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Wbudowane oświetlenie blatu z regulacją natężenia światła.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Światło LED z regulacją natężenia.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– 2 pkt.</w:t>
            </w:r>
          </w:p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N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ie – 0 pkt.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Max masa aparatu z parownikami: nie większa niż 220 kg.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A956B0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B0" w:rsidRPr="006D3FC4" w:rsidRDefault="00A956B0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B0" w:rsidRPr="006D3FC4" w:rsidRDefault="00A956B0" w:rsidP="008F72C8">
            <w:pPr>
              <w:pStyle w:val="Zawartotabeli"/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  <w:t>UKŁAD ODDECHOWY: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Kompaktowy układ oddechowy okrężny do wentylacji noworodków, dzieci i dorosłych.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Układ oddechowy o prostej budowie, do łatwej wymiany i sterylizacji, pozbawiony lateksu.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Możliwość podłączenia układów bezzastawkowych bez ingerencji w układ okrężny aparatu.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Obejście tlenowe o dużej wydajności: minimum do 50 l/min.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Pochłaniacz dwutlenku węgla, wielokrotnego użytku, o budowie przeziernej i pojemności maksymalnej 1,5 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Pochłaniacze dwutlenku węgla jednorazowe o budowie przeziernej i pojemności maksymalnej 1,5 l. – po 2 szt na aparat.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Możliwość używania zamiennie pochłaniaczy wielorazowych i jednorazowych podczas znieczulenia.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Wymiana pochłaniaczy wielorazowych na jednorazowe podczas znieczulenia bez rozszczelnienia układu i bez stosowania narzędzi.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Usuwanie gazów anestetycznych poza salę operacyjną dostosowane do systemu odprowadzania gazów z instalacji centralnej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Tzw. ekonomizer znieczulania: funkcja optymalnego doboru przepływu świeżych gazów i oszczędzania środków wziewnych.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Możliwość ustawienia przez użytkownika wartości końcowo wydechowego stężenia O2 i końcowo wydechowego stężenia środka wziewnego na ekranie wentylatora i włączenie funkcji pozwalającej na automatyczne osiągnięcie nastawionych wartości poprzez automatyczną zmianę przepływów podawanej mieszaniny gazów oddechowych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Możliwość oceny zużycia środka wziewnego w godzinie znieczulenia w ml. z podaniem kosztu w jednostce walutowej /godz.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Zapobieganie powstawaniu mieszaniny hipoksycznej.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Układ oddechowy kompaktowy. Nadający się do sterylizacji w autoklawie (włączając w to czujniki przepływu).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B0862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62" w:rsidRPr="006D3FC4" w:rsidRDefault="003B0862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62" w:rsidRPr="006D3FC4" w:rsidRDefault="003B0862" w:rsidP="008F72C8">
            <w:pPr>
              <w:pStyle w:val="Zawartotabeli"/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  <w:t>RESPIRATOR ANESTETYCZNY: 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Tryb wentylacji ciśnieniowo – zmienny (PC).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Tryb wentylacji objętościowo – zmienny (VC).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Tryby z gwarantowaną objętością: AutoFlow albo PRVC albo PCV -VG.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Synchronizowana przerywana wentylacja wymuszona (SIMV) w trybie objętościowo – zmiennym.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Synchronizowana przerywana wentylacja wymuszona (SIMV) w trybie ciśnieniowo – zmiennym.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Synchronizowana przerywana wentylacja wymuszona (SIMV) w trybie ciśnieniowo zmi</w:t>
            </w:r>
            <w:r w:rsidR="00D136A2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ennym z gwarantowaną objętością.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Tryb wentylacji wspomaganej ciśnieniem (Pressure Support). Czułość wyzwalania przepływowego min. 0,5-10 l/min.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Tryb wentylacji wspomaganej ciśnieniem (Pressure Support) z automatycznym włączeniem wentylacji 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lastRenderedPageBreak/>
              <w:t xml:space="preserve">zapasowej po wystąpieniu alarmu bezdechu respiratora.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D136A2">
        <w:trPr>
          <w:trHeight w:val="41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Tryb wentylacji CPAP+PSV.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D136A2">
        <w:trPr>
          <w:trHeight w:val="38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Tryb wentylacji ręczny.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Możliwość rozbudowy o tryb pracy w krążeniu pozaustrojowym, zapewniający: wentylację ręczną w krążeniu pozaustrojowym z zawieszeniem alarmów objętości, bezdechu, częstości oddechów i CO2. Informację na ekranie respiratora o włączonym trybie pracy w krążeniu pozaustrojowym.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Możliwość rozbudowy o tryb pracy w krążeniu pozaustrojowym, zapewniający: wentylację mechaniczną w krążeniu pozaustrojowym z zawieszeniem alarmów objętości, bezdechu, częstości oddechów, CO2 i niskiego ciśnienia w drogach oddechowych. Informacja na ekranie respiratora o włączonym trybie pracy w krążeniu pozaustrojowym.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Pauza w przepływie gazów  min. do 1 min. w trybie wentylacji ręcznej i mechanicznej.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Automatyczna wielostopniowa rekrutacja pęcherzyków płucnych programowana i ob</w:t>
            </w:r>
            <w:r w:rsidR="00D136A2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razowana na ekranie respiratora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. Możliwość indywidualnej zmiany programowanyc</w:t>
            </w:r>
            <w:r w:rsidR="00D136A2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h parametrów np. PEEP, ciśnienia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Podanie na żądanie dodatkowego jednego oddechu pod określonym ciśnieniem przez określony czas bez wykonania zmian w ustawieniach respiratora – wentylacja mechaniczna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Przełączanie jednostopniowe wentylacji ręcznej na mechaniczną i wentylacji mechanicznej na ręczną przy pomocy dźwigni/przełącznika mechanicznego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Zakres regulacji stosunku wdechu do wydechu: minimum 2:1 ÷ 1:4.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Zakres regulacji częstości oddechu w trybie wentylacji ciśnieniowo-zmiennej i objętościowo-zmiennej: minimum 5 ÷ 100 oddechów/min.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Zakres regulacji objętości oddechowej w trybie wentylacji objętościowo-zmiennej: minimum 20 ÷ 1500 ml.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Zakres możliwej do osiągnięcia objętości oddechowej w trybie went</w:t>
            </w:r>
            <w:r w:rsidR="003B0862"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ylacji ciśnieniowo-zmiennej: minimum 5÷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1500 ml.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62" w:rsidRPr="006D3FC4" w:rsidRDefault="003B0862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– 5 pkt.</w:t>
            </w:r>
          </w:p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N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ie – 0 pkt.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Zakres regulacji dodatniego ciśnienia końcowo-wydechowego (PEEP): minimum 5÷25 cm H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  <w:vertAlign w:val="subscript"/>
              </w:rPr>
              <w:t>2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O.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BA0AD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Zakres regulacji Plateau</w:t>
            </w:r>
            <w:r w:rsidR="00090853"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 wdechu: minimum 5 ÷ 60 % czasu wdechu.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System alarmów.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Alarm niskiej objętości minutowej (MV) lub objętości oddechowej (TV).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Alarmy objętości pojedynczego oddechu TV z regulowanymi progami górnym i dolnym.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Alarm minimalnego i maksymalnego ciśnienia wdechowego.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Alarm Apnea.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Alarm braku zasilania w energię elektryczną.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Alarm niskiego ciśnienia lub braku zasilania w gazy: O2, powietrze, N2O.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BD7088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88" w:rsidRPr="006D3FC4" w:rsidRDefault="00BD7088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88" w:rsidRPr="006D3FC4" w:rsidRDefault="00BD7088" w:rsidP="008F72C8">
            <w:pPr>
              <w:pStyle w:val="Zawartotabeli"/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  <w:t>POMIARY I OBRAZOWANIE: 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stężenia tlenu w gazach oddechowych.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objętości oddechowej (TV).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objętości minutowej (MV).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częstości oddechu.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ciśnienia szczytowego.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ciśnienia średniego.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ciśnienia Plateau.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ciśnienia PEEP.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stężenia wdechowego i wydechowego tlenu w gazach oddechowych metodą paramagnetyczną.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stężenia gazów i środków anestetycznych (podtlenku azotu, sevofluranu, desfluranu, isofluranu) w mieszaninie wdechowej i wydechowej.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Automatyczna identyfikacja anestetyku wziewnego i analiza MAC z korelacją z wiekiem pacjenta.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Ekran kolorowy LCD, dotykowy, do nastaw i prezentacji parametrów wentylacji i krzywych.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Przekątna ekranu: minimum 15".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Rozdzielczość: minimum 1024 x 768 pikseli.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Ekran główny respiratora aparatu do znieczulenia - niewbudowany.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Ekran obrotowy umieszczony na ruchomym wysięgniku. Ekran Z regulacją  wysokości, przesuwu w poziomie i kąta pochylenia.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6D3FC4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-2 pkt.,</w:t>
            </w:r>
          </w:p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N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ie – 0 pkt.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Możliwość konfigurowania minimum 3-ech niezależnych stron ekranu respiratora.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Możliwość konfigurowania minimum 4-ech lub więcej  niezależnych stron ekranu respiratora.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6D3FC4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-2 pkt.,</w:t>
            </w:r>
          </w:p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N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ie – 0 pkt.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Prezentacja krzywej ciśnienia w drogach oddechowych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Prezentacja krzywej przepływu w drogach oddechowych.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Prezentacja wartości numerycznych i krzywej dynamicznej prężności CO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  <w:vertAlign w:val="subscript"/>
              </w:rPr>
              <w:t xml:space="preserve">2 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w strumieniu wdechowym i wydechowym.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Prezentacja koncentracji anestetyku wziewnego na wdechu i wydechu.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Prezentacja pętli: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1) ciśnienie / objętość.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BD7088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2) przepływ / objętość.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Prezentacja podatności układu oddechowego i oporu w drogach oddechowych.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Możliwość zapisania minimum jednej wzorcowej pętli spirometrycznej.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Możliwość zapisania minimum 3 wzorcowych pętli spirometrycznych z podaniem czasu zapisania krzywej.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Prezentacja wartości ciśnienia gazów w instalacji szpitalnej i w butli awaryjnej O2 na ekranie respiratora.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Automatyczna kalkulacja parametrów wentylacji po wprowadzeniu minimum masy pacjenta.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Moduł pomiarów gazowych wyjmowany z aparatu.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6D3FC4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Tak 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- 5 pkt.,</w:t>
            </w:r>
          </w:p>
          <w:p w:rsidR="00032CAA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n</w:t>
            </w:r>
            <w:r w:rsidR="00032CAA" w:rsidRPr="006D3FC4">
              <w:rPr>
                <w:rFonts w:ascii="Garamond" w:hAnsi="Garamond" w:cs="Arial"/>
                <w:sz w:val="22"/>
                <w:szCs w:val="22"/>
              </w:rPr>
              <w:t>ie – 0 pkt.</w:t>
            </w:r>
          </w:p>
        </w:tc>
      </w:tr>
      <w:tr w:rsidR="00032CAA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Możliwość rozbudowy o pomiar zapotrzebowania kalorycznego pacjenta metodą kalorymetrii pośredniej (zużycie tlenu i produkcja CO2) przy pomocy czujnika niewymagającego okresowej wymiany, wraz z obliczaniem parametrów wymiany gazowej RQ i EE. </w:t>
            </w:r>
          </w:p>
          <w:p w:rsidR="00032CAA" w:rsidRPr="006D3FC4" w:rsidRDefault="00032CAA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Pomiar realizowany z wykorzystaniem modułu oferowanego systemu monitorowania, przenoszonego pomiędzy stanowiskami, zapewniającego wyświetlanie monitorowanych parametrów na ekranie monitora aparatu.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AA" w:rsidRPr="006D3FC4" w:rsidRDefault="00032CAA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ED2DB7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B7" w:rsidRPr="006D3FC4" w:rsidRDefault="00ED2DB7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B7" w:rsidRPr="006D3FC4" w:rsidRDefault="00ED2DB7" w:rsidP="008F72C8">
            <w:pPr>
              <w:pStyle w:val="Zawartotabeli"/>
              <w:snapToGrid w:val="0"/>
              <w:spacing w:line="276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  <w:t>PAROWNIK: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Uchwyt dla minimum 2-óch parowników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Możliwość podłączenia parownika do sevofluranu lub desfluranu.  Minimum jedno gniazdo aktywne. </w:t>
            </w: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lastRenderedPageBreak/>
              <w:t xml:space="preserve">Zabezpieczenie przed podaniem dwóch środków wziewnych równocześnie.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Parowniki sterowanie elektroniczne z ekranu aparatu do znieczulenia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53" w:rsidRPr="006D3FC4" w:rsidRDefault="00090853" w:rsidP="008F72C8">
            <w:pPr>
              <w:snapToGrid w:val="0"/>
              <w:spacing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Parowniki do sevofluranu i desfluranu –po 1 szt. do każdego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ED2DB7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B7" w:rsidRPr="006D3FC4" w:rsidRDefault="00ED2DB7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B7" w:rsidRPr="006D3FC4" w:rsidRDefault="00ED2DB7" w:rsidP="008F72C8">
            <w:pPr>
              <w:pStyle w:val="Zawartotabeli"/>
              <w:snapToGrid w:val="0"/>
              <w:spacing w:line="276" w:lineRule="auto"/>
              <w:rPr>
                <w:rFonts w:ascii="Garamond" w:eastAsia="Times New Roman" w:hAnsi="Garamond" w:cs="Arial"/>
                <w:b/>
                <w:bCs/>
                <w:color w:val="FF0000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  <w:t>SSAK: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Aparat wyposażony w wbudowany ssak inżektorowy, z regulacja podciśnienia, z pojemnikami min.1,0 l do wymiennych wkładów.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Wymienne wkłady: 5 szt./aparat (zestaw startowy).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ED2DB7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B7" w:rsidRPr="006D3FC4" w:rsidRDefault="00ED2DB7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B7" w:rsidRPr="006D3FC4" w:rsidRDefault="00ED2DB7" w:rsidP="008F72C8">
            <w:pPr>
              <w:pStyle w:val="Zawartotabeli"/>
              <w:snapToGrid w:val="0"/>
              <w:spacing w:line="276" w:lineRule="auto"/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kern w:val="0"/>
                <w:sz w:val="22"/>
                <w:szCs w:val="22"/>
              </w:rPr>
              <w:t>SYSTEM TESTOWANIA APARATU:</w:t>
            </w:r>
          </w:p>
          <w:p w:rsidR="00ED2DB7" w:rsidRPr="006D3FC4" w:rsidRDefault="00ED2DB7" w:rsidP="008F72C8">
            <w:pPr>
              <w:pStyle w:val="Zawartotabeli"/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Automatyczny lub automatyczny z interakcją z personelem test kontrolny aparatu, sprawdzający jego działanie.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Dziennik testów kontrolnych prezentowany na ekranie aparatu.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Konstrukcja aparatu umożliwiająca zainstalowanie kardiomonitora w ergonomicznej dla personelu medycznego pozycji.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>Komunikacja użytkownika z aparatem w języku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widowControl/>
              <w:suppressAutoHyphens w:val="0"/>
              <w:spacing w:line="276" w:lineRule="auto"/>
              <w:rPr>
                <w:rFonts w:ascii="Garamond" w:eastAsia="Times New Roman" w:hAnsi="Garamond" w:cs="Arial"/>
                <w:kern w:val="0"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kern w:val="0"/>
                <w:sz w:val="22"/>
                <w:szCs w:val="22"/>
              </w:rPr>
              <w:t xml:space="preserve">Instrukcja obsługi w języku polskim w formie wydrukowanej i w wersji elektronicznej na płycie CD lub pendrive.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ED2DB7" w:rsidRPr="006D3FC4" w:rsidTr="003C4A6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B7" w:rsidRPr="006D3FC4" w:rsidRDefault="00ED2DB7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B7" w:rsidRPr="006D3FC4" w:rsidRDefault="00ED2DB7" w:rsidP="008F72C8">
            <w:pPr>
              <w:snapToGrid w:val="0"/>
              <w:spacing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D3FC4">
              <w:rPr>
                <w:rFonts w:ascii="Garamond" w:hAnsi="Garamond" w:cs="Arial"/>
                <w:b/>
                <w:sz w:val="22"/>
                <w:szCs w:val="22"/>
              </w:rPr>
              <w:t>INNE: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53" w:rsidRPr="006D3FC4" w:rsidRDefault="00090853" w:rsidP="008F72C8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Komunikacja z aparatem w języku polskim</w:t>
            </w:r>
            <w:r w:rsidR="00BA0ADA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90853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53" w:rsidRPr="006D3FC4" w:rsidRDefault="00090853" w:rsidP="008F72C8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 xml:space="preserve">Możliwość zdefiniowania konfiguracji Użytkownika z zabezpieczeniem hasłem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pacing w:line="276" w:lineRule="auto"/>
              <w:jc w:val="center"/>
            </w:pPr>
            <w:r w:rsidRPr="006D3FC4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53" w:rsidRPr="006D3FC4" w:rsidRDefault="00090853" w:rsidP="008F72C8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D3FC4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</w:tbl>
    <w:p w:rsidR="00090853" w:rsidRPr="006D3FC4" w:rsidRDefault="00090853" w:rsidP="008F72C8">
      <w:pPr>
        <w:spacing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270BBA" w:rsidRPr="006D3FC4" w:rsidRDefault="00270BBA" w:rsidP="008F72C8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6D3FC4"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8C3609" w:rsidRPr="006D3FC4" w:rsidRDefault="008C3609" w:rsidP="008F72C8">
      <w:pPr>
        <w:spacing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6D3FC4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WARUNKI GWARANCJI I SERWISU</w:t>
      </w:r>
    </w:p>
    <w:p w:rsidR="008C3609" w:rsidRPr="006D3FC4" w:rsidRDefault="008C3609" w:rsidP="008F72C8">
      <w:pPr>
        <w:spacing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8C3609" w:rsidRPr="006D3FC4" w:rsidTr="000908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6D3FC4" w:rsidRDefault="008C3609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6D3FC4" w:rsidRDefault="00090853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6D3FC4" w:rsidRDefault="00090853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3609" w:rsidRPr="006D3FC4" w:rsidRDefault="00090853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3609" w:rsidRPr="006D3FC4" w:rsidRDefault="008C3609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Gwarancja na aparat [miesiące]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&gt;= 60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Cs/>
                <w:sz w:val="22"/>
                <w:szCs w:val="22"/>
              </w:rPr>
              <w:t>najdłuższy okres – 10 pkt.,</w:t>
            </w:r>
          </w:p>
          <w:p w:rsidR="008C3609" w:rsidRPr="006D3FC4" w:rsidRDefault="00ED2DB7" w:rsidP="008F72C8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6D3FC4">
              <w:rPr>
                <w:rFonts w:ascii="Garamond" w:eastAsia="Times New Roman" w:hAnsi="Garamond" w:cs="Arial"/>
                <w:bCs/>
                <w:sz w:val="22"/>
                <w:szCs w:val="22"/>
              </w:rPr>
              <w:t xml:space="preserve">inne </w:t>
            </w:r>
            <w:r w:rsidR="008C3609" w:rsidRPr="006D3FC4">
              <w:rPr>
                <w:rFonts w:ascii="Garamond" w:eastAsia="Times New Roman" w:hAnsi="Garamond" w:cs="Arial"/>
                <w:bCs/>
                <w:sz w:val="22"/>
                <w:szCs w:val="22"/>
              </w:rPr>
              <w:t>–</w:t>
            </w:r>
            <w:r w:rsidRPr="006D3FC4">
              <w:rPr>
                <w:rFonts w:ascii="Garamond" w:eastAsia="Times New Roman" w:hAnsi="Garamond" w:cs="Arial"/>
                <w:bCs/>
                <w:sz w:val="22"/>
                <w:szCs w:val="22"/>
              </w:rPr>
              <w:t xml:space="preserve"> </w:t>
            </w:r>
            <w:r w:rsidR="008C3609" w:rsidRPr="006D3FC4">
              <w:rPr>
                <w:rFonts w:ascii="Garamond" w:eastAsia="Times New Roman" w:hAnsi="Garamond" w:cs="Arial"/>
                <w:bCs/>
                <w:sz w:val="22"/>
                <w:szCs w:val="22"/>
              </w:rPr>
              <w:t>proporcjonalnie mniej (względem najkorzystniejszej oferty)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6D3FC4">
              <w:rPr>
                <w:rFonts w:ascii="Garamond" w:hAnsi="Garamond" w:cstheme="minorHAnsi"/>
                <w:color w:val="FF0000"/>
                <w:sz w:val="22"/>
                <w:szCs w:val="22"/>
              </w:rPr>
              <w:t xml:space="preserve"> </w:t>
            </w:r>
            <w:r w:rsidRPr="006D3FC4">
              <w:rPr>
                <w:rFonts w:ascii="Garamond" w:hAnsi="Garamond" w:cstheme="minorHAnsi"/>
                <w:sz w:val="22"/>
                <w:szCs w:val="22"/>
              </w:rPr>
              <w:t>od dnia odbioru, podczas każdego, wykonywanego przeglądu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</w:t>
            </w:r>
            <w:r w:rsidR="008C3609" w:rsidRPr="006D3FC4">
              <w:rPr>
                <w:rFonts w:ascii="Garamond" w:hAnsi="Garamond" w:cstheme="minorHAnsi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Liczba przeglądów okresowych niezbędnych do wykonywania po upływie gwarancji dla potwierdzenia bezpiecznej eksploatacji aparatu – podać, opisać zakres.</w:t>
            </w: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i/>
                <w:sz w:val="22"/>
                <w:szCs w:val="22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P</w:t>
            </w:r>
            <w:r w:rsidR="008C3609" w:rsidRPr="006D3FC4">
              <w:rPr>
                <w:rFonts w:ascii="Garamond" w:hAnsi="Garamond" w:cstheme="minorHAnsi"/>
                <w:sz w:val="22"/>
                <w:szCs w:val="22"/>
              </w:rPr>
              <w:t>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Maksymalny czas naprawy  nie może przekroczyć 10 dni roboczych, w przypadku naprawy dłuższej niż 5 dni roboczych – aparat zastępczy o min. identycznych parametrach lub lepszy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Wymiana podzespołu na nowy – natychmiastowa lub co najwyżej po pierwszej nieskutecznej próbie jego naprawy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Możliwość zgłoszeń 24 godz/dobę,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Czas reakcji serwisu (przyjęte zgłoszenie – podjęta naprawa) 2 dni robocze.</w:t>
            </w: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Jako "podjęta naprawa" liczy się obecność uprawnionego  pracownika wykonawcy przy uszkodzonym aparacie lub jego odbiór na koszt wykonawcy (np. pocztą kurierską)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  <w:r w:rsidR="008C3609" w:rsidRPr="006D3FC4">
              <w:rPr>
                <w:rFonts w:ascii="Garamond" w:hAnsi="Garamond" w:cstheme="minorHAnsi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 xml:space="preserve">Szkolenia dla personelu  medycznego z zakresu obsługi urządzenia (8 osób) w momencie jego instalacji i odbioru; w razie potrzeby możliwość stałego wsparcia aplikacyjnego w początkowym okresie pracy urządzeń (dodatkowe szkolenie, </w:t>
            </w:r>
            <w:r w:rsidRPr="006D3FC4">
              <w:rPr>
                <w:rFonts w:ascii="Garamond" w:hAnsi="Garamond" w:cstheme="minorHAnsi"/>
                <w:sz w:val="22"/>
                <w:szCs w:val="22"/>
              </w:rPr>
              <w:lastRenderedPageBreak/>
              <w:t>dodatkowa grupa osób, konsultacje, itp. również 8 osób) – potwierdzone certyfikatem.</w:t>
            </w: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i/>
                <w:sz w:val="22"/>
                <w:szCs w:val="22"/>
              </w:rPr>
              <w:t>uwaga (1) - Należy przewidzieć szkolenia w wymiarze do 2 dni roboczych oraz zapewnić możliwość stałego wsparcia aplikacyjnego</w:t>
            </w: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6D3FC4" w:rsidRDefault="008C3609" w:rsidP="008F72C8">
            <w:pPr>
              <w:pStyle w:val="Akapitzlist"/>
              <w:spacing w:after="0"/>
              <w:ind w:left="0"/>
              <w:rPr>
                <w:rFonts w:ascii="Garamond" w:eastAsia="Times New Roman" w:hAnsi="Garamond" w:cstheme="minorHAnsi"/>
              </w:rPr>
            </w:pPr>
            <w:r w:rsidRPr="006D3FC4">
              <w:rPr>
                <w:rFonts w:ascii="Garamond" w:hAnsi="Garamond" w:cstheme="minorHAnsi"/>
                <w:i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Szkolenia dla personelu technicznego (pracownicy Działu Aparatury – 2 osoby) z zakresu diagnostyki stanu technicznego i wykonywania czynności konserwacyjnych,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 xml:space="preserve"> naprawczych i przeglądowych; w </w:t>
            </w:r>
            <w:r w:rsidRPr="006D3FC4">
              <w:rPr>
                <w:rFonts w:ascii="Garamond" w:hAnsi="Garamond" w:cstheme="minorHAnsi"/>
                <w:sz w:val="22"/>
                <w:szCs w:val="22"/>
              </w:rPr>
              <w:t>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i/>
                <w:sz w:val="22"/>
                <w:szCs w:val="22"/>
              </w:rPr>
              <w:t>uwaga (1) - Należy przewidzieć szkolenia w wymiarze do 2 dni roboczych oraz zapewnić możliwość stałego wsparcia aplikacyjnego</w:t>
            </w: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i/>
                <w:sz w:val="22"/>
                <w:szCs w:val="22"/>
              </w:rPr>
              <w:t xml:space="preserve">uwaga (2) - Jako stałe wsparcie aplikacyjne rozumie się porady, konsultacje, wskazówki, itp. czynności niezbędne </w:t>
            </w:r>
            <w:r w:rsidRPr="006D3FC4">
              <w:rPr>
                <w:rFonts w:ascii="Garamond" w:hAnsi="Garamond" w:cstheme="minorHAnsi"/>
                <w:i/>
                <w:sz w:val="22"/>
                <w:szCs w:val="22"/>
              </w:rPr>
              <w:lastRenderedPageBreak/>
              <w:t>do wykorzystywania przez personel wszystkich zaoferowanych w aparacie opcji bez ponoszenia przez Zamawiającego dodatkowych kosztów.</w:t>
            </w: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i/>
                <w:sz w:val="22"/>
                <w:szCs w:val="22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</w:t>
            </w:r>
            <w:r w:rsidR="00AC5A3B">
              <w:rPr>
                <w:rFonts w:ascii="Garamond" w:hAnsi="Garamond" w:cstheme="minorHAnsi"/>
                <w:sz w:val="22"/>
                <w:szCs w:val="22"/>
              </w:rPr>
              <w:t>, akcesoriów, przystawek, itd.).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  <w:tr w:rsidR="008C3609" w:rsidRPr="006D3FC4" w:rsidTr="00270BB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Akapitzlist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Garamond" w:eastAsia="Times New Roman" w:hAnsi="Garamond" w:cs="Arial"/>
                <w:bCs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09" w:rsidRPr="006D3FC4" w:rsidRDefault="008C3609" w:rsidP="008F72C8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270BBA" w:rsidP="008F72C8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D3FC4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8C3609" w:rsidP="008F72C8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09" w:rsidRPr="006D3FC4" w:rsidRDefault="00AC5A3B" w:rsidP="008F72C8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- - -</w:t>
            </w:r>
          </w:p>
        </w:tc>
      </w:tr>
    </w:tbl>
    <w:p w:rsidR="008C3609" w:rsidRPr="006D3FC4" w:rsidRDefault="008C3609" w:rsidP="008D3F98">
      <w:pPr>
        <w:spacing w:before="360" w:after="240"/>
        <w:jc w:val="center"/>
        <w:rPr>
          <w:rFonts w:ascii="Garamond" w:hAnsi="Garamond" w:cs="Arial"/>
          <w:sz w:val="22"/>
          <w:szCs w:val="22"/>
        </w:rPr>
      </w:pPr>
    </w:p>
    <w:sectPr w:rsidR="008C3609" w:rsidRPr="006D3FC4" w:rsidSect="008D3F9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08" w:rsidRDefault="000F2908" w:rsidP="00032CAA">
      <w:r>
        <w:separator/>
      </w:r>
    </w:p>
  </w:endnote>
  <w:endnote w:type="continuationSeparator" w:id="0">
    <w:p w:rsidR="000F2908" w:rsidRDefault="000F2908" w:rsidP="0003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08" w:rsidRDefault="000F2908" w:rsidP="00032CAA">
      <w:r>
        <w:separator/>
      </w:r>
    </w:p>
  </w:footnote>
  <w:footnote w:type="continuationSeparator" w:id="0">
    <w:p w:rsidR="000F2908" w:rsidRDefault="000F2908" w:rsidP="0003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64" w:rsidRDefault="003C4A64" w:rsidP="005A643E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0AE61396" wp14:editId="378A2B39">
          <wp:simplePos x="0" y="0"/>
          <wp:positionH relativeFrom="column">
            <wp:posOffset>556170</wp:posOffset>
          </wp:positionH>
          <wp:positionV relativeFrom="paragraph">
            <wp:posOffset>-355690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4A64" w:rsidRDefault="003C4A64" w:rsidP="005A643E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</w:rPr>
    </w:pPr>
    <w:r w:rsidRPr="007B77B0">
      <w:rPr>
        <w:rFonts w:ascii="Garamond" w:hAnsi="Garamond"/>
        <w:kern w:val="0"/>
        <w:sz w:val="22"/>
        <w:szCs w:val="22"/>
      </w:rPr>
      <w:t>NSSU.DFP.271</w:t>
    </w:r>
    <w:r>
      <w:rPr>
        <w:rFonts w:ascii="Garamond" w:hAnsi="Garamond"/>
        <w:kern w:val="0"/>
        <w:sz w:val="22"/>
        <w:szCs w:val="22"/>
      </w:rPr>
      <w:t>.34</w:t>
    </w:r>
    <w:r w:rsidRPr="007B77B0">
      <w:rPr>
        <w:rFonts w:ascii="Garamond" w:hAnsi="Garamond"/>
        <w:kern w:val="0"/>
        <w:sz w:val="22"/>
        <w:szCs w:val="22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</w:rPr>
      <w:t xml:space="preserve">         </w:t>
    </w:r>
    <w:r w:rsidRPr="007B77B0">
      <w:rPr>
        <w:rFonts w:ascii="Garamond" w:hAnsi="Garamond"/>
        <w:kern w:val="0"/>
        <w:sz w:val="22"/>
        <w:szCs w:val="22"/>
      </w:rPr>
      <w:t xml:space="preserve">  </w:t>
    </w:r>
    <w:r>
      <w:rPr>
        <w:rFonts w:ascii="Garamond" w:hAnsi="Garamond"/>
        <w:kern w:val="0"/>
        <w:sz w:val="22"/>
        <w:szCs w:val="22"/>
      </w:rPr>
      <w:t xml:space="preserve">                     </w:t>
    </w:r>
    <w:r>
      <w:rPr>
        <w:rFonts w:ascii="Garamond" w:hAnsi="Garamond"/>
        <w:b/>
        <w:kern w:val="0"/>
        <w:sz w:val="22"/>
        <w:szCs w:val="22"/>
      </w:rPr>
      <w:t>cześć 1</w:t>
    </w:r>
    <w:r w:rsidRPr="009B3B77">
      <w:rPr>
        <w:rFonts w:ascii="Garamond" w:hAnsi="Garamond"/>
        <w:b/>
        <w:kern w:val="0"/>
        <w:sz w:val="22"/>
        <w:szCs w:val="22"/>
      </w:rPr>
      <w:t xml:space="preserve">                                                 </w:t>
    </w:r>
    <w:r>
      <w:rPr>
        <w:rFonts w:ascii="Garamond" w:hAnsi="Garamond"/>
        <w:b/>
        <w:kern w:val="0"/>
        <w:sz w:val="22"/>
        <w:szCs w:val="22"/>
      </w:rPr>
      <w:t xml:space="preserve">                           </w:t>
    </w:r>
    <w:r w:rsidRPr="009B3B77">
      <w:rPr>
        <w:rFonts w:ascii="Garamond" w:hAnsi="Garamond"/>
        <w:b/>
        <w:kern w:val="0"/>
        <w:sz w:val="22"/>
        <w:szCs w:val="22"/>
      </w:rPr>
      <w:t xml:space="preserve">  </w:t>
    </w:r>
    <w:r w:rsidRPr="00A352C6">
      <w:rPr>
        <w:rFonts w:ascii="Garamond" w:hAnsi="Garamond"/>
        <w:kern w:val="0"/>
        <w:sz w:val="22"/>
        <w:szCs w:val="22"/>
      </w:rPr>
      <w:t>Załącznik nr 1a do specyfikacji</w:t>
    </w:r>
  </w:p>
  <w:p w:rsidR="003C4A64" w:rsidRPr="006E7B49" w:rsidRDefault="003C4A64" w:rsidP="005A643E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</w:rPr>
    </w:pPr>
    <w:r>
      <w:rPr>
        <w:rFonts w:ascii="Garamond" w:hAnsi="Garamond"/>
        <w:kern w:val="0"/>
        <w:sz w:val="22"/>
        <w:szCs w:val="22"/>
      </w:rPr>
      <w:t>Załącznik nr …… do umowy</w:t>
    </w:r>
  </w:p>
  <w:p w:rsidR="003C4A64" w:rsidRDefault="003C4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BF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1D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D2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FAA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63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E2545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C5D53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5441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1170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2657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72798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074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03979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A52E2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3228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3611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3753F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65AA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8"/>
  </w:num>
  <w:num w:numId="5">
    <w:abstractNumId w:val="16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  <w:num w:numId="13">
    <w:abstractNumId w:val="14"/>
  </w:num>
  <w:num w:numId="14">
    <w:abstractNumId w:val="11"/>
  </w:num>
  <w:num w:numId="15">
    <w:abstractNumId w:val="13"/>
  </w:num>
  <w:num w:numId="16">
    <w:abstractNumId w:val="4"/>
  </w:num>
  <w:num w:numId="17">
    <w:abstractNumId w:val="17"/>
  </w:num>
  <w:num w:numId="18">
    <w:abstractNumId w:val="12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1C"/>
    <w:rsid w:val="00030713"/>
    <w:rsid w:val="00032CAA"/>
    <w:rsid w:val="000563CB"/>
    <w:rsid w:val="00090853"/>
    <w:rsid w:val="000F2908"/>
    <w:rsid w:val="00126CD4"/>
    <w:rsid w:val="001866CA"/>
    <w:rsid w:val="00186BB8"/>
    <w:rsid w:val="0018759B"/>
    <w:rsid w:val="002654C0"/>
    <w:rsid w:val="00270BBA"/>
    <w:rsid w:val="00285433"/>
    <w:rsid w:val="002C340C"/>
    <w:rsid w:val="002C35B7"/>
    <w:rsid w:val="00345632"/>
    <w:rsid w:val="00352298"/>
    <w:rsid w:val="00386BDE"/>
    <w:rsid w:val="003B0862"/>
    <w:rsid w:val="003B4146"/>
    <w:rsid w:val="003C4A64"/>
    <w:rsid w:val="004340B4"/>
    <w:rsid w:val="004D4B3C"/>
    <w:rsid w:val="005037A3"/>
    <w:rsid w:val="0053402F"/>
    <w:rsid w:val="005A643E"/>
    <w:rsid w:val="0063621E"/>
    <w:rsid w:val="00655F0A"/>
    <w:rsid w:val="006D3FC4"/>
    <w:rsid w:val="00714EB7"/>
    <w:rsid w:val="008438CA"/>
    <w:rsid w:val="008B5EBD"/>
    <w:rsid w:val="008C3609"/>
    <w:rsid w:val="008D3F98"/>
    <w:rsid w:val="008E52B8"/>
    <w:rsid w:val="008F585A"/>
    <w:rsid w:val="008F667F"/>
    <w:rsid w:val="008F72C8"/>
    <w:rsid w:val="009E4BFB"/>
    <w:rsid w:val="00A00B73"/>
    <w:rsid w:val="00A92053"/>
    <w:rsid w:val="00A956B0"/>
    <w:rsid w:val="00AC5A3B"/>
    <w:rsid w:val="00B75B3C"/>
    <w:rsid w:val="00B81A6E"/>
    <w:rsid w:val="00BA0ADA"/>
    <w:rsid w:val="00BA2258"/>
    <w:rsid w:val="00BD7088"/>
    <w:rsid w:val="00C00AF1"/>
    <w:rsid w:val="00C45250"/>
    <w:rsid w:val="00D136A2"/>
    <w:rsid w:val="00D40A29"/>
    <w:rsid w:val="00E650D1"/>
    <w:rsid w:val="00ED2DB7"/>
    <w:rsid w:val="00EE1064"/>
    <w:rsid w:val="00F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DDDA"/>
  <w15:docId w15:val="{210171B9-DC6C-4312-91D3-DBD1F647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9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D3F98"/>
    <w:pPr>
      <w:suppressLineNumbers/>
    </w:pPr>
  </w:style>
  <w:style w:type="paragraph" w:customStyle="1" w:styleId="Standard">
    <w:name w:val="Standard"/>
    <w:rsid w:val="008D3F9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CA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A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032CAA"/>
    <w:rPr>
      <w:kern w:val="1"/>
      <w:szCs w:val="20"/>
    </w:rPr>
  </w:style>
  <w:style w:type="table" w:styleId="Tabela-Siatka">
    <w:name w:val="Table Grid"/>
    <w:basedOn w:val="Standardowy"/>
    <w:uiPriority w:val="59"/>
    <w:rsid w:val="0003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032CAA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32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CA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C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1620-3DE4-4514-B974-80C9B5BC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2607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19</cp:revision>
  <cp:lastPrinted>2019-01-03T08:21:00Z</cp:lastPrinted>
  <dcterms:created xsi:type="dcterms:W3CDTF">2018-12-28T09:54:00Z</dcterms:created>
  <dcterms:modified xsi:type="dcterms:W3CDTF">2019-01-17T11:33:00Z</dcterms:modified>
</cp:coreProperties>
</file>