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CFC4B" w14:textId="731D1DF8" w:rsidR="00C70464" w:rsidRDefault="00B954E3" w:rsidP="00C7046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0F47B1C6" w14:textId="77777777" w:rsidR="00C70464" w:rsidRPr="000114FC" w:rsidRDefault="00C70464" w:rsidP="00C7046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C70464">
        <w:rPr>
          <w:rFonts w:ascii="Garamond" w:eastAsia="Times New Roman" w:hAnsi="Garamond" w:cs="Times New Roman"/>
          <w:b/>
          <w:color w:val="002060"/>
          <w:lang w:eastAsia="ar-SA"/>
        </w:rPr>
        <w:t xml:space="preserve">Zestaw do elektroforezy poziomej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– 1 sztuka</w:t>
      </w:r>
    </w:p>
    <w:p w14:paraId="4C7BBB51" w14:textId="77777777" w:rsidR="00C70464" w:rsidRPr="00AE1C56" w:rsidRDefault="00C70464" w:rsidP="00C70464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41CDE9B8" w14:textId="77777777" w:rsidR="00C70464" w:rsidRPr="00AE1C56" w:rsidRDefault="00C70464" w:rsidP="00C7046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138C02C6" w14:textId="77777777" w:rsidR="00C70464" w:rsidRPr="00AE1C56" w:rsidRDefault="00C70464" w:rsidP="00C7046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7D5331FA" w14:textId="77777777" w:rsidR="00C70464" w:rsidRPr="00AE1C56" w:rsidRDefault="00C70464" w:rsidP="00C70464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7BB15208" w14:textId="77777777" w:rsidR="00C70464" w:rsidRPr="00AE1C56" w:rsidRDefault="00C70464" w:rsidP="00C7046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5CA4F3D1" w14:textId="77777777" w:rsidR="00C70464" w:rsidRDefault="00C70464" w:rsidP="00C7046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3F2A7CF5" w14:textId="77777777" w:rsidR="00C70464" w:rsidRPr="00AE1C56" w:rsidRDefault="00C70464" w:rsidP="00C7046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7846E6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B954E3" w:rsidRPr="00AE1C56" w14:paraId="090372D3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1700B268" w14:textId="77777777" w:rsidR="00B954E3" w:rsidRPr="00AE1C56" w:rsidRDefault="00B954E3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10C8F8F4" w14:textId="77777777" w:rsidR="00B954E3" w:rsidRPr="00AE1C56" w:rsidRDefault="00B954E3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954E3" w:rsidRPr="00AE1C56" w14:paraId="5F42659F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6458B562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3A335B4D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954E3" w:rsidRPr="00AE1C56" w14:paraId="3924D5FA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11417E00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188B756F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954E3" w:rsidRPr="00AE1C56" w14:paraId="3E652360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5531A991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6D430008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954E3" w:rsidRPr="00AE1C56" w14:paraId="47D5BA75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490AE614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42295CB1" w14:textId="77777777" w:rsidR="00B954E3" w:rsidRPr="00AE1C56" w:rsidRDefault="00B954E3" w:rsidP="00013E93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69584B8B" w14:textId="77777777" w:rsidR="009324AF" w:rsidRPr="009324AF" w:rsidRDefault="009324AF" w:rsidP="009324AF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7B570802" w14:textId="77777777" w:rsidR="009324AF" w:rsidRPr="009324AF" w:rsidRDefault="009324AF" w:rsidP="009324AF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C70464" w:rsidRPr="000B2010" w14:paraId="407DCF26" w14:textId="77777777" w:rsidTr="00443531">
        <w:trPr>
          <w:trHeight w:val="623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2A49F" w14:textId="77777777" w:rsidR="00C70464" w:rsidRPr="000B2010" w:rsidRDefault="00C70464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25634" w14:textId="77777777" w:rsidR="00C70464" w:rsidRPr="000B2010" w:rsidRDefault="00C7046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1FF34" w14:textId="77777777" w:rsidR="00C70464" w:rsidRPr="000B2010" w:rsidRDefault="00C7046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84076" w14:textId="77777777" w:rsidR="00C70464" w:rsidRPr="000B2010" w:rsidRDefault="00C70464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C70464" w:rsidRPr="000B2010" w14:paraId="23942A87" w14:textId="77777777" w:rsidTr="00443531">
        <w:trPr>
          <w:trHeight w:val="373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0CE4E" w14:textId="77777777" w:rsidR="00C70464" w:rsidRPr="000114FC" w:rsidRDefault="00C70464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70464"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Zestaw do elektroforezy poziomej  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75696" w14:textId="77777777" w:rsidR="00C70464" w:rsidRPr="000B2010" w:rsidRDefault="00C70464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092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734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06303F35" w14:textId="77777777" w:rsidR="00C70464" w:rsidRPr="000B2010" w:rsidRDefault="00C70464" w:rsidP="00C70464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C70464" w:rsidRPr="000B2010" w14:paraId="294BC5CC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3F596A5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0E8DE" w14:textId="77777777" w:rsidR="00C70464" w:rsidRPr="000B2010" w:rsidRDefault="00C70464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127DF0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6529A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C70464" w:rsidRPr="000B2010" w14:paraId="61CD2B34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AEFF3A8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6357FC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78334439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6FF4455" w14:textId="77777777" w:rsidR="00C70464" w:rsidRPr="000B2010" w:rsidRDefault="00C70464" w:rsidP="00C70464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C70464" w:rsidRPr="000B2010" w14:paraId="7AFA18D2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D2D92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C70464" w:rsidRPr="000B2010" w14:paraId="2CE19252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79727DF" w14:textId="77777777" w:rsidR="00C70464" w:rsidRPr="000B2010" w:rsidRDefault="00C7046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4B71460" w14:textId="77777777" w:rsidR="00C70464" w:rsidRPr="000B2010" w:rsidRDefault="00C70464" w:rsidP="00C70464">
      <w:pPr>
        <w:rPr>
          <w:rFonts w:ascii="Garamond" w:hAnsi="Garamond"/>
        </w:rPr>
      </w:pPr>
    </w:p>
    <w:p w14:paraId="5E9596BE" w14:textId="77777777" w:rsidR="00C70464" w:rsidRPr="000B2010" w:rsidRDefault="00C70464" w:rsidP="00C70464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C70464" w:rsidRPr="000B2010" w14:paraId="7020D2C9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C4D822" w14:textId="77777777" w:rsidR="00C70464" w:rsidRPr="000B2010" w:rsidRDefault="00C70464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4536A" w14:textId="77777777" w:rsidR="00C70464" w:rsidRPr="000B2010" w:rsidRDefault="00C70464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36435B96" w14:textId="77777777" w:rsidR="00C70464" w:rsidRPr="000B2010" w:rsidRDefault="00C70464" w:rsidP="00C70464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511D58FE" w14:textId="77777777" w:rsidR="009324AF" w:rsidRPr="009324AF" w:rsidRDefault="00C70464" w:rsidP="00C70464">
      <w:pPr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6DEBD765" w14:textId="77777777" w:rsidR="00BC771B" w:rsidRPr="00C7046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C70464" w14:paraId="473B0224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336B4" w14:textId="77777777" w:rsidR="008A7E6F" w:rsidRPr="00C7046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6585A" w14:textId="77777777" w:rsidR="008A7E6F" w:rsidRPr="00C7046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B8610B" w14:textId="77777777" w:rsidR="008A7E6F" w:rsidRPr="00C7046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6FAFA7" w14:textId="77777777" w:rsidR="008A7E6F" w:rsidRPr="00C7046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462C" w14:textId="77777777" w:rsidR="008A7E6F" w:rsidRPr="00C7046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AD37C8" w:rsidRPr="00C70464" w14:paraId="5E991D3E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F82B" w14:textId="77777777" w:rsidR="00AD37C8" w:rsidRPr="00C70464" w:rsidRDefault="00AD37C8" w:rsidP="009B39E8">
            <w:pPr>
              <w:pStyle w:val="Zawartotabeli"/>
              <w:numPr>
                <w:ilvl w:val="0"/>
                <w:numId w:val="19"/>
              </w:num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6257" w14:textId="77777777" w:rsidR="00AD37C8" w:rsidRPr="00C70464" w:rsidRDefault="007846E6" w:rsidP="009B39E8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K</w:t>
            </w:r>
            <w:r w:rsidR="00AD37C8" w:rsidRPr="00C70464">
              <w:rPr>
                <w:rFonts w:ascii="Garamond" w:hAnsi="Garamond" w:cs="Times New Roman"/>
              </w:rPr>
              <w:t xml:space="preserve">omora elektroforetyczna z pokrywą i kablami – </w:t>
            </w:r>
            <w:r>
              <w:rPr>
                <w:rFonts w:ascii="Garamond" w:hAnsi="Garamond" w:cs="Times New Roman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E7597A" w14:textId="77777777" w:rsidR="00AD37C8" w:rsidRPr="00C70464" w:rsidRDefault="00AD37C8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08E2B" w14:textId="77777777" w:rsidR="00AD37C8" w:rsidRPr="00C70464" w:rsidRDefault="00AD37C8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AA03" w14:textId="77777777" w:rsidR="00AD37C8" w:rsidRPr="00C70464" w:rsidRDefault="00AD37C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D37C8" w:rsidRPr="00C70464" w14:paraId="55AD5736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070" w14:textId="77777777" w:rsidR="00AD37C8" w:rsidRPr="00C70464" w:rsidRDefault="00AD37C8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47528" w14:textId="77777777" w:rsidR="00AD37C8" w:rsidRPr="00C70464" w:rsidRDefault="007846E6" w:rsidP="009B39E8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</w:t>
            </w:r>
            <w:r w:rsidR="00AD37C8" w:rsidRPr="00C70464">
              <w:rPr>
                <w:rFonts w:ascii="Garamond" w:hAnsi="Garamond" w:cs="Times New Roman"/>
              </w:rPr>
              <w:t xml:space="preserve">aca UV z podziałką fluoryzującą o wymiarach </w:t>
            </w:r>
            <w:r w:rsidR="00AD37C8" w:rsidRPr="009B39E8">
              <w:rPr>
                <w:rFonts w:ascii="Garamond" w:hAnsi="Garamond" w:cs="Times New Roman"/>
              </w:rPr>
              <w:t>15</w:t>
            </w:r>
            <w:r w:rsidRPr="009B39E8">
              <w:rPr>
                <w:rFonts w:ascii="Garamond" w:hAnsi="Garamond" w:cs="Times New Roman"/>
              </w:rPr>
              <w:t xml:space="preserve"> cm </w:t>
            </w:r>
            <w:r w:rsidR="00AD37C8" w:rsidRPr="009B39E8">
              <w:rPr>
                <w:rFonts w:ascii="Garamond" w:hAnsi="Garamond" w:cs="Times New Roman"/>
              </w:rPr>
              <w:t>x</w:t>
            </w:r>
            <w:r w:rsidRPr="009B39E8">
              <w:rPr>
                <w:rFonts w:ascii="Garamond" w:hAnsi="Garamond" w:cs="Times New Roman"/>
              </w:rPr>
              <w:t xml:space="preserve"> </w:t>
            </w:r>
            <w:r w:rsidR="00AD37C8" w:rsidRPr="009B39E8">
              <w:rPr>
                <w:rFonts w:ascii="Garamond" w:hAnsi="Garamond" w:cs="Times New Roman"/>
              </w:rPr>
              <w:t>10</w:t>
            </w:r>
            <w:r w:rsidRPr="009B39E8">
              <w:rPr>
                <w:rFonts w:ascii="Garamond" w:hAnsi="Garamond" w:cs="Times New Roman"/>
              </w:rPr>
              <w:t xml:space="preserve"> </w:t>
            </w:r>
            <w:r w:rsidR="00AD37C8" w:rsidRPr="00C70464">
              <w:rPr>
                <w:rFonts w:ascii="Garamond" w:hAnsi="Garamond" w:cs="Times New Roman"/>
              </w:rPr>
              <w:t xml:space="preserve">cm – </w:t>
            </w:r>
            <w:r>
              <w:rPr>
                <w:rFonts w:ascii="Garamond" w:hAnsi="Garamond" w:cs="Times New Roman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5F4968" w14:textId="77777777" w:rsidR="00AD37C8" w:rsidRPr="00C70464" w:rsidRDefault="00AD37C8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01EBA" w14:textId="77777777" w:rsidR="00AD37C8" w:rsidRPr="00C70464" w:rsidRDefault="00AD37C8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C0D3" w14:textId="77777777" w:rsidR="00AD37C8" w:rsidRPr="00C70464" w:rsidRDefault="00AD37C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D37C8" w:rsidRPr="00C70464" w14:paraId="2BA1FC15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7966B" w14:textId="77777777" w:rsidR="00AD37C8" w:rsidRPr="00C70464" w:rsidRDefault="00AD37C8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84FA" w14:textId="77777777" w:rsidR="00AD37C8" w:rsidRPr="00C70464" w:rsidRDefault="007846E6" w:rsidP="009B39E8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G</w:t>
            </w:r>
            <w:r w:rsidR="00AD37C8" w:rsidRPr="00C70464">
              <w:rPr>
                <w:rFonts w:ascii="Garamond" w:hAnsi="Garamond" w:cs="Times New Roman"/>
              </w:rPr>
              <w:t>rzebienie (15</w:t>
            </w:r>
            <w:r>
              <w:rPr>
                <w:rFonts w:ascii="Garamond" w:hAnsi="Garamond" w:cs="Times New Roman"/>
              </w:rPr>
              <w:t xml:space="preserve"> </w:t>
            </w:r>
            <w:r w:rsidR="00AD37C8" w:rsidRPr="00C70464">
              <w:rPr>
                <w:rFonts w:ascii="Garamond" w:hAnsi="Garamond" w:cs="Times New Roman"/>
              </w:rPr>
              <w:t>- i 20</w:t>
            </w:r>
            <w:r>
              <w:rPr>
                <w:rFonts w:ascii="Garamond" w:hAnsi="Garamond" w:cs="Times New Roman"/>
              </w:rPr>
              <w:t xml:space="preserve"> </w:t>
            </w:r>
            <w:r w:rsidR="00AD37C8" w:rsidRPr="00C70464">
              <w:rPr>
                <w:rFonts w:ascii="Garamond" w:hAnsi="Garamond" w:cs="Times New Roman"/>
              </w:rPr>
              <w:t xml:space="preserve">- zębowych) o grubości 1,5mm </w:t>
            </w:r>
            <w:r>
              <w:rPr>
                <w:rFonts w:ascii="Garamond" w:hAnsi="Garamond" w:cs="Times New Roman"/>
              </w:rPr>
              <w:t>- 5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C43946" w14:textId="77777777" w:rsidR="00AD37C8" w:rsidRPr="00C70464" w:rsidRDefault="00AD37C8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5ECBA" w14:textId="77777777" w:rsidR="00AD37C8" w:rsidRPr="00C70464" w:rsidRDefault="00AD37C8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5B30" w14:textId="77777777" w:rsidR="00AD37C8" w:rsidRPr="00C70464" w:rsidRDefault="00AD37C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D37C8" w:rsidRPr="00C70464" w14:paraId="3B58E425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8717" w14:textId="77777777" w:rsidR="00AD37C8" w:rsidRPr="00C70464" w:rsidRDefault="00AD37C8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B23D5" w14:textId="77777777" w:rsidR="00AD37C8" w:rsidRPr="00C70464" w:rsidRDefault="00AD37C8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Szybkość migracji</w:t>
            </w:r>
            <w:r w:rsidR="007846E6">
              <w:rPr>
                <w:rFonts w:ascii="Garamond" w:hAnsi="Garamond" w:cs="Times New Roman"/>
              </w:rPr>
              <w:t xml:space="preserve"> błękitu </w:t>
            </w:r>
            <w:proofErr w:type="spellStart"/>
            <w:r w:rsidR="007846E6">
              <w:rPr>
                <w:rFonts w:ascii="Garamond" w:hAnsi="Garamond" w:cs="Times New Roman"/>
              </w:rPr>
              <w:t>bromofenolowego</w:t>
            </w:r>
            <w:proofErr w:type="spellEnd"/>
            <w:r w:rsidR="007846E6">
              <w:rPr>
                <w:rFonts w:ascii="Garamond" w:hAnsi="Garamond" w:cs="Times New Roman"/>
              </w:rPr>
              <w:t xml:space="preserve"> max.</w:t>
            </w:r>
            <w:r w:rsidRPr="00C70464">
              <w:rPr>
                <w:rFonts w:ascii="Garamond" w:hAnsi="Garamond" w:cs="Times New Roman"/>
              </w:rPr>
              <w:t>~4.5 cm/</w:t>
            </w:r>
            <w:proofErr w:type="spellStart"/>
            <w:r w:rsidRPr="00C70464">
              <w:rPr>
                <w:rFonts w:ascii="Garamond" w:hAnsi="Garamond" w:cs="Times New Roman"/>
              </w:rPr>
              <w:t>hr</w:t>
            </w:r>
            <w:proofErr w:type="spellEnd"/>
            <w:r w:rsidRPr="00C70464">
              <w:rPr>
                <w:rFonts w:ascii="Garamond" w:hAnsi="Garamond" w:cs="Times New Roman"/>
              </w:rPr>
              <w:t xml:space="preserve"> (przy 75 V)</w:t>
            </w:r>
            <w:r w:rsidR="005A3305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7A737E" w14:textId="4CF1C3F5" w:rsidR="00AD37C8" w:rsidRPr="00C70464" w:rsidRDefault="001677CD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="00AD37C8" w:rsidRPr="00C7046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D6F78" w14:textId="77777777" w:rsidR="00AD37C8" w:rsidRPr="00C70464" w:rsidRDefault="00AD37C8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23B7" w14:textId="77777777" w:rsidR="00AD37C8" w:rsidRPr="00C70464" w:rsidRDefault="00AD37C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hAnsi="Garamond" w:cs="Times New Roman"/>
              </w:rPr>
              <w:t>4.5 cm/</w:t>
            </w:r>
            <w:proofErr w:type="spellStart"/>
            <w:r w:rsidRPr="00C70464">
              <w:rPr>
                <w:rFonts w:ascii="Garamond" w:hAnsi="Garamond" w:cs="Times New Roman"/>
              </w:rPr>
              <w:t>hr</w:t>
            </w:r>
            <w:proofErr w:type="spellEnd"/>
            <w:r w:rsidRPr="00C70464">
              <w:rPr>
                <w:rFonts w:ascii="Garamond" w:hAnsi="Garamond" w:cs="Times New Roman"/>
              </w:rPr>
              <w:t xml:space="preserve"> (przy 75 V) – 0 pkt. najmniejsza 5 pkt. inne proporcjonalnie</w:t>
            </w:r>
          </w:p>
        </w:tc>
      </w:tr>
      <w:tr w:rsidR="00AD37C8" w:rsidRPr="00C70464" w14:paraId="2DB4315B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2FEA" w14:textId="77777777" w:rsidR="00AD37C8" w:rsidRPr="00C70464" w:rsidRDefault="00AD37C8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00FE" w14:textId="77777777" w:rsidR="00AD37C8" w:rsidRPr="00C70464" w:rsidRDefault="00AD37C8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 xml:space="preserve">Pojemność buforu: max. 650mL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3EFA12" w14:textId="77777777" w:rsidR="00AD37C8" w:rsidRPr="00C70464" w:rsidRDefault="00AD37C8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C70A9" w14:textId="77777777" w:rsidR="00AD37C8" w:rsidRPr="00C70464" w:rsidRDefault="00AD37C8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E15B" w14:textId="77777777" w:rsidR="00AD37C8" w:rsidRPr="00C70464" w:rsidRDefault="00AD37C8" w:rsidP="009B39E8">
            <w:pPr>
              <w:spacing w:after="0"/>
              <w:jc w:val="center"/>
              <w:rPr>
                <w:rFonts w:ascii="Garamond" w:hAnsi="Garamond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D37C8" w:rsidRPr="00C70464" w14:paraId="22044E4E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64CF7" w14:textId="77777777" w:rsidR="00AD37C8" w:rsidRPr="00C70464" w:rsidRDefault="00AD37C8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3A8EC" w14:textId="77777777" w:rsidR="00AD37C8" w:rsidRPr="00C70464" w:rsidRDefault="007846E6" w:rsidP="009B39E8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Wymiary aparatu </w:t>
            </w:r>
            <w:r w:rsidRPr="009B39E8">
              <w:rPr>
                <w:rFonts w:ascii="Garamond" w:hAnsi="Garamond" w:cs="Times New Roman"/>
              </w:rPr>
              <w:t>max.</w:t>
            </w:r>
            <w:r w:rsidR="00AD37C8" w:rsidRPr="009B39E8">
              <w:rPr>
                <w:rFonts w:ascii="Garamond" w:hAnsi="Garamond" w:cs="Times New Roman"/>
              </w:rPr>
              <w:t>: 18,0</w:t>
            </w:r>
            <w:r w:rsidRPr="009B39E8">
              <w:rPr>
                <w:rFonts w:ascii="Garamond" w:hAnsi="Garamond" w:cs="Times New Roman"/>
              </w:rPr>
              <w:t xml:space="preserve"> cm </w:t>
            </w:r>
            <w:r w:rsidR="00AD37C8" w:rsidRPr="009B39E8">
              <w:rPr>
                <w:rFonts w:ascii="Garamond" w:hAnsi="Garamond" w:cs="Times New Roman"/>
              </w:rPr>
              <w:t>x</w:t>
            </w:r>
            <w:r w:rsidRPr="009B39E8">
              <w:rPr>
                <w:rFonts w:ascii="Garamond" w:hAnsi="Garamond" w:cs="Times New Roman"/>
              </w:rPr>
              <w:t xml:space="preserve"> </w:t>
            </w:r>
            <w:r w:rsidR="00AD37C8" w:rsidRPr="009B39E8">
              <w:rPr>
                <w:rFonts w:ascii="Garamond" w:hAnsi="Garamond" w:cs="Times New Roman"/>
              </w:rPr>
              <w:t>26,0</w:t>
            </w:r>
            <w:r w:rsidRPr="009B39E8">
              <w:rPr>
                <w:rFonts w:ascii="Garamond" w:hAnsi="Garamond" w:cs="Times New Roman"/>
              </w:rPr>
              <w:t xml:space="preserve"> cm </w:t>
            </w:r>
            <w:r w:rsidR="00AD37C8" w:rsidRPr="009B39E8">
              <w:rPr>
                <w:rFonts w:ascii="Garamond" w:hAnsi="Garamond" w:cs="Times New Roman"/>
              </w:rPr>
              <w:t>x</w:t>
            </w:r>
            <w:r w:rsidRPr="009B39E8">
              <w:rPr>
                <w:rFonts w:ascii="Garamond" w:hAnsi="Garamond" w:cs="Times New Roman"/>
              </w:rPr>
              <w:t xml:space="preserve"> </w:t>
            </w:r>
            <w:r w:rsidR="00AD37C8" w:rsidRPr="009B39E8">
              <w:rPr>
                <w:rFonts w:ascii="Garamond" w:hAnsi="Garamond" w:cs="Times New Roman"/>
              </w:rPr>
              <w:t>7,0</w:t>
            </w:r>
            <w:r w:rsidRPr="009B39E8">
              <w:rPr>
                <w:rFonts w:ascii="Garamond" w:hAnsi="Garamond" w:cs="Times New Roman"/>
              </w:rPr>
              <w:t xml:space="preserve"> </w:t>
            </w:r>
            <w:r w:rsidR="00AD37C8" w:rsidRPr="009B39E8">
              <w:rPr>
                <w:rFonts w:ascii="Garamond" w:hAnsi="Garamond" w:cs="Times New Roman"/>
              </w:rPr>
              <w:t>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84560E" w14:textId="77777777" w:rsidR="00AD37C8" w:rsidRPr="00C70464" w:rsidRDefault="00AD37C8" w:rsidP="009B39E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61547" w14:textId="77777777" w:rsidR="00AD37C8" w:rsidRPr="00C70464" w:rsidRDefault="00AD37C8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157D" w14:textId="77777777" w:rsidR="00AD37C8" w:rsidRPr="00C70464" w:rsidRDefault="00AD37C8" w:rsidP="009B39E8">
            <w:pPr>
              <w:spacing w:after="0"/>
              <w:jc w:val="center"/>
              <w:rPr>
                <w:rFonts w:ascii="Garamond" w:hAnsi="Garamond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D37C8" w:rsidRPr="00C70464" w14:paraId="6E954613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69" w14:textId="77777777" w:rsidR="00AD37C8" w:rsidRPr="00C70464" w:rsidRDefault="00AD37C8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B2C07" w14:textId="77777777" w:rsidR="00AD37C8" w:rsidRPr="00C70464" w:rsidRDefault="00755754" w:rsidP="009B39E8">
            <w:pPr>
              <w:spacing w:after="0"/>
              <w:rPr>
                <w:rFonts w:ascii="Garamond" w:eastAsia="Calibri" w:hAnsi="Garamond" w:cs="Times New Roman"/>
              </w:rPr>
            </w:pPr>
            <w:r w:rsidRPr="00C70464">
              <w:rPr>
                <w:rFonts w:ascii="Garamond" w:eastAsia="Calibri" w:hAnsi="Garamond" w:cs="Times New Roman"/>
              </w:rPr>
              <w:t xml:space="preserve">Zasilacz – </w:t>
            </w:r>
            <w:r w:rsidR="007846E6">
              <w:rPr>
                <w:rFonts w:ascii="Garamond" w:eastAsia="Calibri" w:hAnsi="Garamond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14DBF1" w14:textId="77777777" w:rsidR="00AD37C8" w:rsidRPr="00C70464" w:rsidRDefault="00AD37C8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66665" w14:textId="77777777" w:rsidR="00AD37C8" w:rsidRPr="00C70464" w:rsidRDefault="00AD37C8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1339" w14:textId="77777777" w:rsidR="00AD37C8" w:rsidRPr="00C70464" w:rsidRDefault="00AD37C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06878538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34F8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307DB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Minimalny zakres napięcia wyjściowego: 100 – 300 V z regulacją co 1 V</w:t>
            </w:r>
            <w:r w:rsidR="007846E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C1167B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82FD1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5B8A" w14:textId="77777777" w:rsidR="00755754" w:rsidRPr="00C70464" w:rsidRDefault="00755754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512B7BB7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E5EC8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6E34A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Minimalny zakres natężenia prądu wyjściowego: 4 – 400mA z regulacją co 0,01A</w:t>
            </w:r>
            <w:r w:rsidR="007846E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5A7668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D5C9C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4A5" w14:textId="77777777" w:rsidR="00755754" w:rsidRPr="00C70464" w:rsidRDefault="00755754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7A40F1E8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0A27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3883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Zakres moc wyjściowej  maximum 75 W, regulowanej co 1 W</w:t>
            </w:r>
            <w:r w:rsidR="007846E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F4B1DD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82E92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753A" w14:textId="77777777" w:rsidR="00755754" w:rsidRPr="00C70464" w:rsidRDefault="00755754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4399ED2F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D4832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63D4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Zakres programowania czasu  min.</w:t>
            </w:r>
            <w:r w:rsidR="007846E6">
              <w:rPr>
                <w:rFonts w:ascii="Garamond" w:hAnsi="Garamond" w:cs="Times New Roman"/>
              </w:rPr>
              <w:t xml:space="preserve"> od 1 min. do 99 godz. i 59 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5DA8A9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C43C5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B760" w14:textId="77777777" w:rsidR="00755754" w:rsidRPr="00C70464" w:rsidRDefault="00755754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Calibri" w:hAnsi="Garamond" w:cs="Times New Roman"/>
              </w:rPr>
              <w:t xml:space="preserve"> </w:t>
            </w:r>
          </w:p>
          <w:p w14:paraId="0367E3C7" w14:textId="77777777" w:rsidR="00755754" w:rsidRPr="00C70464" w:rsidRDefault="005A3305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5D710DAE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FE24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6B4A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Aparat posiada funkcję pauzy/podjęcia pracy umożliwiającą zmianę parametrów programu w trakcie jego przebiegu</w:t>
            </w:r>
            <w:r w:rsidR="007846E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06E946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008DB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9F04" w14:textId="77777777" w:rsidR="00755754" w:rsidRPr="00C70464" w:rsidRDefault="005A3305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2B0671DB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6B303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5C05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Pamięć aparatu podtrzymywana bateryjnie umożliwiająca automatyczny powrót do ostatniego zadanego programu pracy po awarii zasilania</w:t>
            </w:r>
            <w:r w:rsidR="005A3305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0D152A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1D4EE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A526" w14:textId="77777777" w:rsidR="00755754" w:rsidRPr="00C70464" w:rsidRDefault="00755754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26C82E1F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AAA3D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AB2C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Aparat posiada funkcję wykrywania braku obciążenia</w:t>
            </w:r>
            <w:r w:rsidR="005A3305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C075A0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D4F46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E33B" w14:textId="77777777" w:rsidR="00755754" w:rsidRPr="00C70464" w:rsidRDefault="00755754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55754" w:rsidRPr="00C70464" w14:paraId="0FE65FD1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187A" w14:textId="77777777" w:rsidR="00755754" w:rsidRPr="00C70464" w:rsidRDefault="00755754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DE986" w14:textId="77777777" w:rsidR="00755754" w:rsidRPr="00C70464" w:rsidRDefault="00755754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Aparat posiada funkcję wykrywania gwałtownych zmian obciążenia i temperatury</w:t>
            </w:r>
            <w:r w:rsidR="005A3305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946E0E" w14:textId="77777777" w:rsidR="00755754" w:rsidRPr="00C70464" w:rsidRDefault="00755754" w:rsidP="009B39E8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EE7A8" w14:textId="77777777" w:rsidR="00755754" w:rsidRPr="00C70464" w:rsidRDefault="00755754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BFF7" w14:textId="77777777" w:rsidR="00755754" w:rsidRPr="00C70464" w:rsidRDefault="00755754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1F526D" w:rsidRPr="00C70464" w14:paraId="1CB640AD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9CC9" w14:textId="77777777" w:rsidR="001F526D" w:rsidRPr="00C70464" w:rsidRDefault="001F526D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85E9" w14:textId="77777777" w:rsidR="001F526D" w:rsidRPr="00C70464" w:rsidRDefault="001F526D" w:rsidP="009B39E8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color w:val="000000"/>
              </w:rPr>
              <w:t>Aparat</w:t>
            </w:r>
            <w:r w:rsidRPr="00C70464">
              <w:rPr>
                <w:rFonts w:ascii="Garamond" w:hAnsi="Garamond" w:cs="Times New Roman"/>
                <w:color w:val="000000"/>
              </w:rPr>
              <w:t xml:space="preserve"> posiada wyświetlacz LED</w:t>
            </w:r>
            <w:r>
              <w:rPr>
                <w:rFonts w:ascii="Garamond" w:hAnsi="Garamond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C33301" w14:textId="3259AA37" w:rsidR="001F526D" w:rsidRPr="00C70464" w:rsidRDefault="001F526D" w:rsidP="009B39E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34D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894D8" w14:textId="77777777" w:rsidR="001F526D" w:rsidRPr="00C70464" w:rsidRDefault="001F526D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D01A" w14:textId="02E8EBE1" w:rsidR="001F526D" w:rsidRPr="00C70464" w:rsidRDefault="001F526D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26784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1F526D" w:rsidRPr="00C70464" w14:paraId="362AB842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EE6A" w14:textId="77777777" w:rsidR="001F526D" w:rsidRPr="00C70464" w:rsidRDefault="001F526D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0984" w14:textId="77777777" w:rsidR="001F526D" w:rsidRPr="00C70464" w:rsidRDefault="001F526D" w:rsidP="009B39E8">
            <w:pPr>
              <w:spacing w:after="0"/>
              <w:rPr>
                <w:rFonts w:ascii="Garamond" w:hAnsi="Garamond" w:cs="Times New Roman"/>
                <w:color w:val="000000"/>
              </w:rPr>
            </w:pPr>
            <w:r w:rsidRPr="00C70464">
              <w:rPr>
                <w:rFonts w:ascii="Garamond" w:hAnsi="Garamond" w:cs="Times New Roman"/>
                <w:color w:val="000000"/>
              </w:rPr>
              <w:t>Aparat posiada możliwość podłączenia 4 odbiorników jednocześnie</w:t>
            </w:r>
            <w:r>
              <w:rPr>
                <w:rFonts w:ascii="Garamond" w:hAnsi="Garamond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B7B87D" w14:textId="34E3D6F9" w:rsidR="001F526D" w:rsidRPr="00C70464" w:rsidRDefault="001F526D" w:rsidP="009B39E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34D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D5B57" w14:textId="77777777" w:rsidR="001F526D" w:rsidRPr="00C70464" w:rsidRDefault="001F526D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00D5" w14:textId="3CADBFA6" w:rsidR="001F526D" w:rsidRPr="00C70464" w:rsidRDefault="001F526D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26784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1F526D" w:rsidRPr="00C70464" w14:paraId="1F4FEFFF" w14:textId="77777777" w:rsidTr="009B39E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7D64" w14:textId="77777777" w:rsidR="001F526D" w:rsidRPr="00C70464" w:rsidRDefault="001F526D" w:rsidP="009B39E8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62EC2" w14:textId="77777777" w:rsidR="001F526D" w:rsidRPr="00C70464" w:rsidRDefault="001F526D" w:rsidP="009B39E8">
            <w:pPr>
              <w:spacing w:after="0"/>
              <w:rPr>
                <w:rFonts w:ascii="Garamond" w:hAnsi="Garamond" w:cs="Times New Roman"/>
              </w:rPr>
            </w:pPr>
            <w:r w:rsidRPr="00C70464">
              <w:rPr>
                <w:rFonts w:ascii="Garamond" w:hAnsi="Garamond" w:cs="Times New Roman"/>
              </w:rPr>
              <w:t>Aparat  posiada możliwość pracy w chłodni w temp. 0-40 °C i przy wilgotności 0-95%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ACA29E" w14:textId="23BAE3E1" w:rsidR="001F526D" w:rsidRPr="00C70464" w:rsidRDefault="001F526D" w:rsidP="009B39E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534D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74E95" w14:textId="77777777" w:rsidR="001F526D" w:rsidRPr="00C70464" w:rsidRDefault="001F526D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7309" w14:textId="709E23E3" w:rsidR="001F526D" w:rsidRPr="00C70464" w:rsidRDefault="001F526D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26784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755754" w:rsidRPr="00C70464" w14:paraId="7708C19E" w14:textId="77777777" w:rsidTr="005A3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6C74D" w14:textId="77777777" w:rsidR="00755754" w:rsidRPr="00C70464" w:rsidRDefault="005A3305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755754" w:rsidRPr="00C70464" w14:paraId="67D2DB3D" w14:textId="77777777" w:rsidTr="005A3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B2C7" w14:textId="77777777" w:rsidR="00755754" w:rsidRPr="00C70464" w:rsidRDefault="00755754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30D1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5A3305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A86F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A04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754B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 xml:space="preserve"> – 1 pkt.</w:t>
            </w:r>
          </w:p>
          <w:p w14:paraId="1FBE6FC7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755754" w:rsidRPr="00C70464" w14:paraId="0BA60B09" w14:textId="77777777" w:rsidTr="005A3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AAF9" w14:textId="77777777" w:rsidR="00755754" w:rsidRPr="00C70464" w:rsidRDefault="00755754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8D6F1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5A3305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B623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4DB6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EF4D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7900895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755754" w:rsidRPr="00C70464" w14:paraId="1ED75257" w14:textId="77777777" w:rsidTr="005A3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06A6" w14:textId="77777777" w:rsidR="00755754" w:rsidRPr="00C70464" w:rsidRDefault="00755754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F8DA" w14:textId="77777777" w:rsidR="00755754" w:rsidRPr="00C70464" w:rsidRDefault="005A330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S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zkolenia 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A86C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205C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D32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0685D7C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755754" w:rsidRPr="00C70464" w14:paraId="6D96108F" w14:textId="77777777" w:rsidTr="005A3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837C" w14:textId="77777777" w:rsidR="00755754" w:rsidRPr="00C70464" w:rsidRDefault="00755754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0883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Certyfikaty producenta potwierdzające wp</w:t>
            </w:r>
            <w:r w:rsidR="005A3305">
              <w:rPr>
                <w:rFonts w:ascii="Garamond" w:eastAsia="Times New Roman" w:hAnsi="Garamond" w:cs="Times New Roman"/>
                <w:lang w:eastAsia="ar-SA"/>
              </w:rPr>
              <w:t xml:space="preserve">rowadzenie systemu zarządzania </w:t>
            </w:r>
            <w:r w:rsidRPr="00C70464">
              <w:rPr>
                <w:rFonts w:ascii="Garamond" w:eastAsia="Times New Roman" w:hAnsi="Garamond" w:cs="Times New Roman"/>
                <w:lang w:eastAsia="ar-SA"/>
              </w:rPr>
              <w:t>produkcji zgodnego z dyrektywami i/lub normami dotyczącymi ekologii, energooszczędności</w:t>
            </w:r>
            <w:r w:rsidR="005A3305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429C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3D47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6BF1A821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E3F0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8F44209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755754" w:rsidRPr="00C70464" w14:paraId="4B3F6BE8" w14:textId="77777777" w:rsidTr="005A3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2E1E" w14:textId="77777777" w:rsidR="00755754" w:rsidRPr="00C70464" w:rsidRDefault="00755754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0B97" w14:textId="77777777" w:rsidR="00755754" w:rsidRPr="00C70464" w:rsidRDefault="005A330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7FC3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48DC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04C7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C6F0C7F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755754" w:rsidRPr="00C70464" w14:paraId="4DC97AED" w14:textId="77777777" w:rsidTr="005A33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8237" w14:textId="77777777" w:rsidR="00755754" w:rsidRPr="00C70464" w:rsidRDefault="00755754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5724" w14:textId="77777777" w:rsidR="00755754" w:rsidRPr="00C70464" w:rsidRDefault="005A330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M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ożliwość automatycznego przechodzenia urządzenia w tryb czuwania/niskiego poboru 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ECDC7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32FF" w14:textId="77777777" w:rsidR="00755754" w:rsidRPr="00C70464" w:rsidRDefault="00755754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2318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0AED5458" w14:textId="77777777" w:rsidR="00755754" w:rsidRPr="00C70464" w:rsidRDefault="005A330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755754" w:rsidRPr="00C7046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457DB076" w14:textId="77777777" w:rsidR="00BC771B" w:rsidRPr="00C7046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1E77AF5" w14:textId="77777777" w:rsidR="005A3305" w:rsidRDefault="005A3305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14:paraId="2864C58C" w14:textId="77777777" w:rsidR="00BC771B" w:rsidRPr="00C70464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C70464">
        <w:rPr>
          <w:rFonts w:ascii="Garamond" w:eastAsia="Times New Roman" w:hAnsi="Garamond" w:cs="Times New Roman"/>
          <w:b/>
          <w:lang w:eastAsia="ar-SA"/>
        </w:rPr>
        <w:lastRenderedPageBreak/>
        <w:t xml:space="preserve">WARUNKI GWARANCJI </w:t>
      </w:r>
    </w:p>
    <w:tbl>
      <w:tblPr>
        <w:tblW w:w="1458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61"/>
        <w:gridCol w:w="1556"/>
        <w:gridCol w:w="1698"/>
        <w:gridCol w:w="1698"/>
      </w:tblGrid>
      <w:tr w:rsidR="00BC771B" w:rsidRPr="00C70464" w14:paraId="0665903C" w14:textId="77777777" w:rsidTr="009B39E8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B5CB6" w14:textId="77777777" w:rsidR="00BC771B" w:rsidRPr="00C7046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C39" w14:textId="77777777" w:rsidR="00BC771B" w:rsidRPr="00C7046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A62D7" w14:textId="77777777" w:rsidR="00BC771B" w:rsidRPr="00C7046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7432" w14:textId="77777777" w:rsidR="00BC771B" w:rsidRPr="00C7046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94CF" w14:textId="77777777" w:rsidR="00BC771B" w:rsidRPr="00C7046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C70464" w14:paraId="7202B9C6" w14:textId="77777777" w:rsidTr="009B39E8">
        <w:trPr>
          <w:trHeight w:val="1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B08C5" w14:textId="77777777" w:rsidR="00966E35" w:rsidRPr="00C70464" w:rsidRDefault="00966E35" w:rsidP="009B39E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C1F2C" w14:textId="77777777" w:rsidR="00A12EA3" w:rsidRPr="00C70464" w:rsidRDefault="00966E35" w:rsidP="009B39E8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  <w:r w:rsidRPr="00C70464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A12EA3" w:rsidRPr="00C70464">
              <w:rPr>
                <w:rFonts w:ascii="Garamond" w:hAnsi="Garamond"/>
                <w:color w:val="000000" w:themeColor="text1"/>
              </w:rPr>
              <w:t xml:space="preserve"> </w:t>
            </w:r>
          </w:p>
          <w:p w14:paraId="7AF497E6" w14:textId="77777777" w:rsidR="00966E35" w:rsidRPr="00C70464" w:rsidRDefault="00A12EA3" w:rsidP="009B39E8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70464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451C0" w14:textId="77777777" w:rsidR="00966E35" w:rsidRPr="00C70464" w:rsidRDefault="00C83FFD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DFEE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B9A" w14:textId="77777777" w:rsidR="00C83FFD" w:rsidRPr="00C70464" w:rsidRDefault="00C83FFD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359D6399" w14:textId="77777777" w:rsidR="00966E35" w:rsidRPr="00C70464" w:rsidRDefault="00C83FFD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C70464" w14:paraId="3B36E729" w14:textId="77777777" w:rsidTr="009B39E8">
        <w:trPr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DCEEC" w14:textId="77777777" w:rsidR="00966E35" w:rsidRPr="00C70464" w:rsidRDefault="00966E35" w:rsidP="009B39E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82673" w14:textId="77777777" w:rsidR="00966E35" w:rsidRPr="00C70464" w:rsidRDefault="00966E35" w:rsidP="009B39E8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70464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5A3305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7E736" w14:textId="77777777" w:rsidR="00966E35" w:rsidRPr="00C70464" w:rsidRDefault="005A330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EFDD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C4D5" w14:textId="77777777" w:rsidR="00966E35" w:rsidRPr="00C70464" w:rsidRDefault="00B866E3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C70464" w14:paraId="5A3DF97D" w14:textId="77777777" w:rsidTr="009B39E8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EA2F" w14:textId="77777777" w:rsidR="00966E35" w:rsidRPr="00C70464" w:rsidRDefault="00966E35" w:rsidP="009B39E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E232" w14:textId="77777777" w:rsidR="00966E35" w:rsidRPr="00C70464" w:rsidRDefault="00966E35" w:rsidP="009B39E8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70464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5A3305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458D3" w14:textId="77777777" w:rsidR="00966E35" w:rsidRPr="00C70464" w:rsidRDefault="005A330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08D7D" w14:textId="77777777" w:rsidR="00966E35" w:rsidRPr="00C70464" w:rsidRDefault="00966E35" w:rsidP="009B39E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D166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C70464" w14:paraId="2EC26A76" w14:textId="77777777" w:rsidTr="009B39E8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91C89" w14:textId="77777777" w:rsidR="00966E35" w:rsidRPr="00C70464" w:rsidRDefault="00966E35" w:rsidP="009B39E8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8825F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5A3305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E3EBF" w14:textId="77777777" w:rsidR="00966E35" w:rsidRPr="00C70464" w:rsidRDefault="005A330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DCC3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E13B" w14:textId="77777777" w:rsidR="005A3305" w:rsidRDefault="005A330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C70464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586B7DB5" w14:textId="77777777" w:rsidR="00966E35" w:rsidRPr="00C70464" w:rsidRDefault="005A330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C70464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C70464" w14:paraId="26FEC78A" w14:textId="77777777" w:rsidTr="009B39E8">
        <w:trPr>
          <w:trHeight w:val="10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B054F" w14:textId="77777777" w:rsidR="00966E35" w:rsidRPr="00C70464" w:rsidRDefault="00966E35" w:rsidP="009B39E8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9CBD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5A3305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4CE02" w14:textId="77777777" w:rsidR="00966E35" w:rsidRPr="00C70464" w:rsidRDefault="005838E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C70464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C70464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0A48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20AF" w14:textId="77777777" w:rsidR="00966E35" w:rsidRPr="00C70464" w:rsidRDefault="00966E3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C70464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07FD99B7" w14:textId="77777777" w:rsidR="005838E5" w:rsidRPr="00C70464" w:rsidRDefault="005838E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1739CC9B" w14:textId="77777777" w:rsidR="00BC771B" w:rsidRPr="00C7046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F6B1720" w14:textId="77777777" w:rsidR="00BC771B" w:rsidRPr="00C7046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A62DEAB" w14:textId="77777777" w:rsidR="00BC771B" w:rsidRPr="00C70464" w:rsidRDefault="005A330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C70464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C70464" w14:paraId="42BBDE9D" w14:textId="77777777" w:rsidTr="009B39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413A" w14:textId="77777777" w:rsidR="00BC771B" w:rsidRPr="00C7046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4389E" w14:textId="77777777" w:rsidR="00BC771B" w:rsidRPr="00C7046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EAA0" w14:textId="77777777" w:rsidR="00BC771B" w:rsidRPr="00C7046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E52D" w14:textId="77777777" w:rsidR="00BC771B" w:rsidRPr="00C7046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BC26" w14:textId="77777777" w:rsidR="00BC771B" w:rsidRPr="00C70464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C70464" w14:paraId="0AA3F5BA" w14:textId="77777777" w:rsidTr="009B39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7FA96" w14:textId="77777777" w:rsidR="00E42DA8" w:rsidRPr="00C70464" w:rsidRDefault="00E42DA8" w:rsidP="009B39E8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52642" w14:textId="77777777" w:rsidR="00E42DA8" w:rsidRPr="00C70464" w:rsidRDefault="00E42DA8" w:rsidP="009B39E8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70464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5A3305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7CAF" w14:textId="77777777" w:rsidR="00E42DA8" w:rsidRPr="00C70464" w:rsidRDefault="005A3305" w:rsidP="009B39E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FCB8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130E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C70464" w14:paraId="4A1759B2" w14:textId="77777777" w:rsidTr="009B39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69ACA" w14:textId="77777777" w:rsidR="00E42DA8" w:rsidRPr="00C70464" w:rsidRDefault="00E42DA8" w:rsidP="009B39E8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D1665" w14:textId="77777777" w:rsidR="00E42DA8" w:rsidRPr="00C70464" w:rsidRDefault="00E42DA8" w:rsidP="009B39E8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70464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5A3305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0E075" w14:textId="77777777" w:rsidR="00E42DA8" w:rsidRPr="00C70464" w:rsidRDefault="005A3305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B215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B7B4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C70464" w14:paraId="1650140C" w14:textId="77777777" w:rsidTr="009B39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8CB51" w14:textId="77777777" w:rsidR="00E42DA8" w:rsidRPr="00C70464" w:rsidRDefault="00E42DA8" w:rsidP="009B39E8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CD179" w14:textId="4824E889" w:rsidR="00E42DA8" w:rsidRPr="00C70464" w:rsidRDefault="00E42DA8" w:rsidP="009B39E8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D42997">
              <w:rPr>
                <w:rFonts w:ascii="Garamond" w:hAnsi="Garamond"/>
                <w:color w:val="000000" w:themeColor="text1"/>
              </w:rPr>
              <w:t>1 dzień roboczy</w:t>
            </w:r>
            <w:r w:rsidR="00D42997">
              <w:rPr>
                <w:rFonts w:ascii="Garamond" w:hAnsi="Garamond"/>
                <w:color w:val="000000" w:themeColor="text1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CC9ED" w14:textId="77777777" w:rsidR="00E42DA8" w:rsidRPr="00C70464" w:rsidRDefault="005A3305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6110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8617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C70464" w14:paraId="07DC0C6C" w14:textId="77777777" w:rsidTr="009B39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DD539" w14:textId="77777777" w:rsidR="00E42DA8" w:rsidRPr="00C70464" w:rsidRDefault="00E42DA8" w:rsidP="009B39E8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9C6A" w14:textId="77777777" w:rsidR="00E42DA8" w:rsidRPr="00C70464" w:rsidRDefault="00E42DA8" w:rsidP="009B39E8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5A330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24488" w14:textId="77777777" w:rsidR="00E42DA8" w:rsidRPr="00C70464" w:rsidRDefault="005A3305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EDD3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7805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C70464" w14:paraId="644D912A" w14:textId="77777777" w:rsidTr="009B39E8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42FC" w14:textId="77777777" w:rsidR="00E42DA8" w:rsidRPr="00C70464" w:rsidRDefault="00E42DA8" w:rsidP="009B39E8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766B" w14:textId="77777777" w:rsidR="00E42DA8" w:rsidRPr="00C70464" w:rsidRDefault="00E42DA8" w:rsidP="009B39E8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5A330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6BB8B" w14:textId="77777777" w:rsidR="00E42DA8" w:rsidRPr="00C70464" w:rsidRDefault="005A3305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80B7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AF52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C70464" w14:paraId="25D306E9" w14:textId="77777777" w:rsidTr="009B39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E7D4" w14:textId="77777777" w:rsidR="00E42DA8" w:rsidRPr="00C70464" w:rsidRDefault="00E42DA8" w:rsidP="009B39E8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8753F" w14:textId="77777777" w:rsidR="00E42DA8" w:rsidRPr="00C70464" w:rsidRDefault="00E42DA8" w:rsidP="009B39E8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70464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6EBCB" w14:textId="77777777" w:rsidR="00E42DA8" w:rsidRPr="00C70464" w:rsidRDefault="005A3305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B8F8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BCFC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C70464" w14:paraId="0B296D20" w14:textId="77777777" w:rsidTr="009B39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CD9AF" w14:textId="77777777" w:rsidR="00E42DA8" w:rsidRPr="00C70464" w:rsidRDefault="00E42DA8" w:rsidP="009B39E8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7DB88" w14:textId="77777777" w:rsidR="00E42DA8" w:rsidRPr="00C70464" w:rsidRDefault="00E42DA8" w:rsidP="009B39E8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70464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5A3305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724E8" w14:textId="63D8A904" w:rsidR="00E42DA8" w:rsidRPr="00C70464" w:rsidRDefault="00E42DA8" w:rsidP="00013E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B2DE" w14:textId="77777777" w:rsidR="00E42DA8" w:rsidRPr="00C70464" w:rsidRDefault="00E42DA8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DFA4" w14:textId="77777777" w:rsidR="00E42DA8" w:rsidRPr="00C70464" w:rsidRDefault="00B866E3" w:rsidP="009B39E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046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C70464" w14:paraId="34179CB3" w14:textId="77777777" w:rsidTr="009B39E8">
        <w:tblPrEx>
          <w:tblBorders>
            <w:top w:val="single" w:sz="4" w:space="0" w:color="auto"/>
          </w:tblBorders>
        </w:tblPrEx>
        <w:trPr>
          <w:gridBefore w:val="4"/>
          <w:wBefore w:w="12900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14:paraId="4F4C103C" w14:textId="77777777" w:rsidR="00E42DA8" w:rsidRPr="00C70464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08E33CC6" w14:textId="77777777" w:rsidR="00041E4B" w:rsidRPr="00C70464" w:rsidRDefault="00041E4B" w:rsidP="004D370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09F1ED2" w14:textId="77777777" w:rsidR="00BC771B" w:rsidRPr="00C70464" w:rsidRDefault="005A3305" w:rsidP="004D370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C70464">
        <w:rPr>
          <w:rFonts w:ascii="Garamond" w:eastAsia="Times New Roman" w:hAnsi="Garamond" w:cs="Times New Roman"/>
          <w:b/>
          <w:lang w:eastAsia="ar-SA"/>
        </w:rPr>
        <w:t>SZKOLENIA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9072"/>
        <w:gridCol w:w="1559"/>
        <w:gridCol w:w="1701"/>
        <w:gridCol w:w="1701"/>
      </w:tblGrid>
      <w:tr w:rsidR="008A7E6F" w:rsidRPr="00C70464" w14:paraId="460F8B53" w14:textId="77777777" w:rsidTr="009B39E8">
        <w:tc>
          <w:tcPr>
            <w:tcW w:w="534" w:type="dxa"/>
            <w:vAlign w:val="center"/>
          </w:tcPr>
          <w:p w14:paraId="436E1C2E" w14:textId="77777777" w:rsidR="008A7E6F" w:rsidRPr="00C7046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9072" w:type="dxa"/>
            <w:vAlign w:val="center"/>
          </w:tcPr>
          <w:p w14:paraId="723BEBE5" w14:textId="77777777" w:rsidR="008A7E6F" w:rsidRPr="00C7046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559" w:type="dxa"/>
            <w:vAlign w:val="center"/>
          </w:tcPr>
          <w:p w14:paraId="7FD5B290" w14:textId="77777777" w:rsidR="008A7E6F" w:rsidRPr="00C7046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701" w:type="dxa"/>
            <w:vAlign w:val="center"/>
          </w:tcPr>
          <w:p w14:paraId="4430409D" w14:textId="77777777" w:rsidR="008A7E6F" w:rsidRPr="00C7046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0A2B9C15" w14:textId="77777777" w:rsidR="008A7E6F" w:rsidRPr="00C7046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C70464" w14:paraId="323E44C7" w14:textId="77777777" w:rsidTr="009B39E8">
        <w:tc>
          <w:tcPr>
            <w:tcW w:w="534" w:type="dxa"/>
          </w:tcPr>
          <w:p w14:paraId="5D60C3BF" w14:textId="77777777" w:rsidR="00B866E3" w:rsidRPr="00C70464" w:rsidRDefault="00B866E3" w:rsidP="009B39E8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644252FF" w14:textId="77777777" w:rsidR="00B866E3" w:rsidRPr="00C70464" w:rsidRDefault="00B14FD0" w:rsidP="009B39E8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C7046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5A3305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559" w:type="dxa"/>
            <w:vAlign w:val="center"/>
          </w:tcPr>
          <w:p w14:paraId="5F76EDF5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7093AA5D" w14:textId="77777777" w:rsidR="00B866E3" w:rsidRPr="00C70464" w:rsidRDefault="00B866E3" w:rsidP="009B39E8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BFBB43C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C70464" w14:paraId="629A8ACD" w14:textId="77777777" w:rsidTr="009B39E8">
        <w:tc>
          <w:tcPr>
            <w:tcW w:w="534" w:type="dxa"/>
          </w:tcPr>
          <w:p w14:paraId="19E15E30" w14:textId="77777777" w:rsidR="00B866E3" w:rsidRPr="00C70464" w:rsidRDefault="00B866E3" w:rsidP="009B39E8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75E70D62" w14:textId="77777777" w:rsidR="00B866E3" w:rsidRPr="00C70464" w:rsidRDefault="00B866E3" w:rsidP="009B39E8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C70464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C70464">
              <w:rPr>
                <w:rFonts w:ascii="Garamond" w:hAnsi="Garamond"/>
                <w:sz w:val="22"/>
                <w:szCs w:val="22"/>
              </w:rPr>
              <w:t>) z zakresu podstawowej diagnostyki stanu technicznego i wykonywania podstawowych czynności konserwacyjny</w:t>
            </w:r>
            <w:r w:rsidR="005A3305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559" w:type="dxa"/>
            <w:vAlign w:val="center"/>
          </w:tcPr>
          <w:p w14:paraId="3BF9606A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68F48711" w14:textId="77777777" w:rsidR="00B866E3" w:rsidRPr="00C70464" w:rsidRDefault="00B866E3" w:rsidP="009B39E8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7EE78BC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DCBD7C0" w14:textId="77777777" w:rsidR="00BC771B" w:rsidRPr="00C7046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020D590" w14:textId="77777777" w:rsidR="00BC771B" w:rsidRPr="00C70464" w:rsidRDefault="005A3305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C70464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36ADD5F9" w14:textId="77777777" w:rsidR="00BC771B" w:rsidRPr="00C7046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9072"/>
        <w:gridCol w:w="1559"/>
        <w:gridCol w:w="1701"/>
        <w:gridCol w:w="1701"/>
      </w:tblGrid>
      <w:tr w:rsidR="008A7E6F" w:rsidRPr="00C70464" w14:paraId="3F8BC6EC" w14:textId="77777777" w:rsidTr="009B39E8">
        <w:tc>
          <w:tcPr>
            <w:tcW w:w="534" w:type="dxa"/>
            <w:vAlign w:val="center"/>
          </w:tcPr>
          <w:p w14:paraId="45F67139" w14:textId="77777777" w:rsidR="008A7E6F" w:rsidRPr="00C7046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9072" w:type="dxa"/>
            <w:vAlign w:val="center"/>
          </w:tcPr>
          <w:p w14:paraId="1A62614A" w14:textId="77777777" w:rsidR="008A7E6F" w:rsidRPr="00C7046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559" w:type="dxa"/>
            <w:vAlign w:val="center"/>
          </w:tcPr>
          <w:p w14:paraId="4B3B1598" w14:textId="77777777" w:rsidR="008A7E6F" w:rsidRPr="00C7046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701" w:type="dxa"/>
            <w:vAlign w:val="center"/>
          </w:tcPr>
          <w:p w14:paraId="34B84D86" w14:textId="77777777" w:rsidR="008A7E6F" w:rsidRPr="00C7046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1D82D756" w14:textId="77777777" w:rsidR="008A7E6F" w:rsidRPr="00C7046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C7046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C70464" w14:paraId="53AE98B0" w14:textId="77777777" w:rsidTr="009B39E8">
        <w:tc>
          <w:tcPr>
            <w:tcW w:w="534" w:type="dxa"/>
          </w:tcPr>
          <w:p w14:paraId="705B2CEA" w14:textId="77777777" w:rsidR="00B866E3" w:rsidRPr="00C70464" w:rsidRDefault="00B866E3" w:rsidP="009B39E8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74D6FD66" w14:textId="77777777" w:rsidR="00B866E3" w:rsidRPr="00C70464" w:rsidRDefault="00B866E3" w:rsidP="009B39E8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5A330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6C41D93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5CAF836A" w14:textId="77777777" w:rsidR="00B866E3" w:rsidRPr="00C70464" w:rsidRDefault="00B866E3" w:rsidP="009B39E8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45172D1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C70464" w14:paraId="7091EE26" w14:textId="77777777" w:rsidTr="009B39E8">
        <w:tc>
          <w:tcPr>
            <w:tcW w:w="534" w:type="dxa"/>
          </w:tcPr>
          <w:p w14:paraId="6C246CD4" w14:textId="77777777" w:rsidR="00B866E3" w:rsidRPr="00C70464" w:rsidRDefault="00B866E3" w:rsidP="009B39E8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4C6FF980" w14:textId="77777777" w:rsidR="00B866E3" w:rsidRPr="00C70464" w:rsidRDefault="00B866E3" w:rsidP="009B39E8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5A330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EC38055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2D1F3F1B" w14:textId="77777777" w:rsidR="00B866E3" w:rsidRPr="00C70464" w:rsidRDefault="00B866E3" w:rsidP="009B39E8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2C4BCF6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C70464" w14:paraId="20993F58" w14:textId="77777777" w:rsidTr="009B39E8">
        <w:tc>
          <w:tcPr>
            <w:tcW w:w="534" w:type="dxa"/>
          </w:tcPr>
          <w:p w14:paraId="296A1E45" w14:textId="77777777" w:rsidR="00B866E3" w:rsidRPr="00C70464" w:rsidRDefault="00B866E3" w:rsidP="009B39E8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6717F749" w14:textId="77777777" w:rsidR="00B866E3" w:rsidRPr="00C70464" w:rsidRDefault="00B866E3" w:rsidP="009B39E8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5A330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1D768A88" w14:textId="77777777" w:rsidR="00B866E3" w:rsidRPr="00C70464" w:rsidRDefault="00B866E3" w:rsidP="009B39E8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5A330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67AD432B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7CF6B890" w14:textId="77777777" w:rsidR="00B866E3" w:rsidRPr="00C70464" w:rsidRDefault="00B866E3" w:rsidP="009B39E8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0135464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C70464" w14:paraId="71621D84" w14:textId="77777777" w:rsidTr="009B39E8">
        <w:tc>
          <w:tcPr>
            <w:tcW w:w="534" w:type="dxa"/>
          </w:tcPr>
          <w:p w14:paraId="321FE398" w14:textId="77777777" w:rsidR="00B866E3" w:rsidRPr="00C70464" w:rsidRDefault="00B866E3" w:rsidP="009B39E8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C6B02C8" w14:textId="77777777" w:rsidR="00B866E3" w:rsidRPr="00C70464" w:rsidRDefault="00B866E3" w:rsidP="009B39E8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nazwa, typ (model), producent, rok produkcji, numer seryjny (fabryczny), inne istotne informacje (np. części </w:t>
            </w: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składowe, istotne wyposażenie, oprogramowanie), kody z aktualnie obowiązującego słownika NFZ (o ile występują)</w:t>
            </w:r>
            <w:r w:rsidR="005A330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00566DDB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vAlign w:val="center"/>
          </w:tcPr>
          <w:p w14:paraId="0EC10AB5" w14:textId="77777777" w:rsidR="00B866E3" w:rsidRPr="00C70464" w:rsidRDefault="00B866E3" w:rsidP="009B39E8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EC47250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C70464" w14:paraId="2ADCFDF6" w14:textId="77777777" w:rsidTr="009B39E8">
        <w:tc>
          <w:tcPr>
            <w:tcW w:w="534" w:type="dxa"/>
          </w:tcPr>
          <w:p w14:paraId="5C1334AE" w14:textId="77777777" w:rsidR="00B866E3" w:rsidRPr="00C70464" w:rsidRDefault="00B866E3" w:rsidP="009B39E8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67D8EE6B" w14:textId="77777777" w:rsidR="00B866E3" w:rsidRPr="00C70464" w:rsidRDefault="00B866E3" w:rsidP="009B39E8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70464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559" w:type="dxa"/>
            <w:vAlign w:val="center"/>
          </w:tcPr>
          <w:p w14:paraId="083F7EB4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06EC6E3A" w14:textId="77777777" w:rsidR="00B866E3" w:rsidRPr="00C70464" w:rsidRDefault="00B866E3" w:rsidP="009B39E8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74D4857" w14:textId="77777777" w:rsidR="00B866E3" w:rsidRPr="00C70464" w:rsidRDefault="00B866E3" w:rsidP="009B39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046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7B077D5C" w14:textId="77777777" w:rsidR="00CE0BB7" w:rsidRPr="00C70464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69613F0F" w14:textId="77777777" w:rsidR="00BC771B" w:rsidRPr="00C7046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2BD2067" w14:textId="77777777" w:rsidR="00D15F1D" w:rsidRPr="00C70464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C70464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4D741" w14:textId="77777777" w:rsidR="00B54284" w:rsidRDefault="00B54284" w:rsidP="002B10C5">
      <w:pPr>
        <w:spacing w:after="0" w:line="240" w:lineRule="auto"/>
      </w:pPr>
      <w:r>
        <w:separator/>
      </w:r>
    </w:p>
  </w:endnote>
  <w:endnote w:type="continuationSeparator" w:id="0">
    <w:p w14:paraId="7614A3A5" w14:textId="77777777" w:rsidR="00B54284" w:rsidRDefault="00B54284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232786"/>
      <w:docPartObj>
        <w:docPartGallery w:val="Page Numbers (Bottom of Page)"/>
        <w:docPartUnique/>
      </w:docPartObj>
    </w:sdtPr>
    <w:sdtEndPr>
      <w:rPr>
        <w:rFonts w:ascii="Garamond" w:hAnsi="Garamond"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6"/>
            <w:szCs w:val="16"/>
          </w:rPr>
        </w:sdtEndPr>
        <w:sdtContent>
          <w:p w14:paraId="56C560FB" w14:textId="0855308C" w:rsidR="005A3305" w:rsidRPr="005A3305" w:rsidRDefault="005A3305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5A3305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D42997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5A3305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D42997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5A3305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266A94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54463" w14:textId="77777777" w:rsidR="00B54284" w:rsidRDefault="00B54284" w:rsidP="002B10C5">
      <w:pPr>
        <w:spacing w:after="0" w:line="240" w:lineRule="auto"/>
      </w:pPr>
      <w:r>
        <w:separator/>
      </w:r>
    </w:p>
  </w:footnote>
  <w:footnote w:type="continuationSeparator" w:id="0">
    <w:p w14:paraId="4666D508" w14:textId="77777777" w:rsidR="00B54284" w:rsidRDefault="00B54284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F615D" w14:textId="55423C77" w:rsidR="00C70464" w:rsidRDefault="00C70464" w:rsidP="008229C8">
    <w:pPr>
      <w:tabs>
        <w:tab w:val="center" w:pos="4536"/>
        <w:tab w:val="right" w:pos="14040"/>
      </w:tabs>
      <w:spacing w:after="0" w:line="240" w:lineRule="auto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4AAC4396" wp14:editId="4DA9A1AA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2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7BB713F5" w14:textId="77777777" w:rsidR="00C70464" w:rsidRPr="00B15D8E" w:rsidRDefault="00C70464" w:rsidP="008229C8">
    <w:pPr>
      <w:tabs>
        <w:tab w:val="center" w:pos="4536"/>
        <w:tab w:val="right" w:pos="14040"/>
      </w:tabs>
      <w:spacing w:after="0" w:line="240" w:lineRule="auto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9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0"/>
  </w:num>
  <w:num w:numId="6">
    <w:abstractNumId w:val="26"/>
  </w:num>
  <w:num w:numId="7">
    <w:abstractNumId w:val="31"/>
  </w:num>
  <w:num w:numId="8">
    <w:abstractNumId w:val="14"/>
  </w:num>
  <w:num w:numId="9">
    <w:abstractNumId w:val="11"/>
  </w:num>
  <w:num w:numId="10">
    <w:abstractNumId w:val="27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23"/>
  </w:num>
  <w:num w:numId="16">
    <w:abstractNumId w:val="17"/>
  </w:num>
  <w:num w:numId="17">
    <w:abstractNumId w:val="5"/>
  </w:num>
  <w:num w:numId="18">
    <w:abstractNumId w:val="9"/>
  </w:num>
  <w:num w:numId="19">
    <w:abstractNumId w:val="7"/>
  </w:num>
  <w:num w:numId="20">
    <w:abstractNumId w:val="22"/>
  </w:num>
  <w:num w:numId="21">
    <w:abstractNumId w:val="30"/>
  </w:num>
  <w:num w:numId="22">
    <w:abstractNumId w:val="6"/>
  </w:num>
  <w:num w:numId="23">
    <w:abstractNumId w:val="33"/>
  </w:num>
  <w:num w:numId="24">
    <w:abstractNumId w:val="19"/>
  </w:num>
  <w:num w:numId="25">
    <w:abstractNumId w:val="13"/>
  </w:num>
  <w:num w:numId="26">
    <w:abstractNumId w:val="32"/>
  </w:num>
  <w:num w:numId="27">
    <w:abstractNumId w:val="18"/>
  </w:num>
  <w:num w:numId="28">
    <w:abstractNumId w:val="29"/>
  </w:num>
  <w:num w:numId="29">
    <w:abstractNumId w:val="28"/>
  </w:num>
  <w:num w:numId="30">
    <w:abstractNumId w:val="25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13E93"/>
    <w:rsid w:val="0003473F"/>
    <w:rsid w:val="00041E4B"/>
    <w:rsid w:val="000439CB"/>
    <w:rsid w:val="000472D7"/>
    <w:rsid w:val="00062621"/>
    <w:rsid w:val="00063146"/>
    <w:rsid w:val="0006612C"/>
    <w:rsid w:val="000736A1"/>
    <w:rsid w:val="000800FB"/>
    <w:rsid w:val="00082567"/>
    <w:rsid w:val="000872C6"/>
    <w:rsid w:val="000A01C5"/>
    <w:rsid w:val="000A0B58"/>
    <w:rsid w:val="000A42E2"/>
    <w:rsid w:val="000B3F15"/>
    <w:rsid w:val="000C38A6"/>
    <w:rsid w:val="000D0B99"/>
    <w:rsid w:val="000E296E"/>
    <w:rsid w:val="00106FA1"/>
    <w:rsid w:val="00107E9C"/>
    <w:rsid w:val="00112E1C"/>
    <w:rsid w:val="00127C35"/>
    <w:rsid w:val="00153000"/>
    <w:rsid w:val="001677CD"/>
    <w:rsid w:val="001703BB"/>
    <w:rsid w:val="001776D1"/>
    <w:rsid w:val="00186665"/>
    <w:rsid w:val="001903D2"/>
    <w:rsid w:val="00195D24"/>
    <w:rsid w:val="001A26B2"/>
    <w:rsid w:val="001C5AC0"/>
    <w:rsid w:val="001D7920"/>
    <w:rsid w:val="001F526D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64D89"/>
    <w:rsid w:val="00273A1E"/>
    <w:rsid w:val="00275E43"/>
    <w:rsid w:val="002764C3"/>
    <w:rsid w:val="00281C87"/>
    <w:rsid w:val="00297630"/>
    <w:rsid w:val="002B1075"/>
    <w:rsid w:val="002B10C5"/>
    <w:rsid w:val="002C485E"/>
    <w:rsid w:val="002D4404"/>
    <w:rsid w:val="002E6120"/>
    <w:rsid w:val="002E7641"/>
    <w:rsid w:val="00315266"/>
    <w:rsid w:val="0031723C"/>
    <w:rsid w:val="00330BAA"/>
    <w:rsid w:val="00336D33"/>
    <w:rsid w:val="0035006A"/>
    <w:rsid w:val="003502EB"/>
    <w:rsid w:val="00361E18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F25EF"/>
    <w:rsid w:val="00416DBD"/>
    <w:rsid w:val="00420195"/>
    <w:rsid w:val="00431206"/>
    <w:rsid w:val="00443531"/>
    <w:rsid w:val="00444EC2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3707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74E66"/>
    <w:rsid w:val="005838E5"/>
    <w:rsid w:val="00585CE5"/>
    <w:rsid w:val="00595A76"/>
    <w:rsid w:val="005A233B"/>
    <w:rsid w:val="005A270D"/>
    <w:rsid w:val="005A3305"/>
    <w:rsid w:val="005A6E64"/>
    <w:rsid w:val="005A7BE7"/>
    <w:rsid w:val="005C2DEE"/>
    <w:rsid w:val="005C6D9B"/>
    <w:rsid w:val="00602393"/>
    <w:rsid w:val="00604D5A"/>
    <w:rsid w:val="00617EC5"/>
    <w:rsid w:val="006309BF"/>
    <w:rsid w:val="006359AC"/>
    <w:rsid w:val="00647553"/>
    <w:rsid w:val="00660D6E"/>
    <w:rsid w:val="00662669"/>
    <w:rsid w:val="006645D9"/>
    <w:rsid w:val="00682BFE"/>
    <w:rsid w:val="006C132C"/>
    <w:rsid w:val="006C703C"/>
    <w:rsid w:val="006D307C"/>
    <w:rsid w:val="006E09BB"/>
    <w:rsid w:val="006F4B69"/>
    <w:rsid w:val="00711126"/>
    <w:rsid w:val="00716F0E"/>
    <w:rsid w:val="00741D21"/>
    <w:rsid w:val="007475D7"/>
    <w:rsid w:val="00751EE5"/>
    <w:rsid w:val="00755754"/>
    <w:rsid w:val="00770C02"/>
    <w:rsid w:val="00782D28"/>
    <w:rsid w:val="007846E6"/>
    <w:rsid w:val="007852A6"/>
    <w:rsid w:val="00795D24"/>
    <w:rsid w:val="007B4693"/>
    <w:rsid w:val="007B64B7"/>
    <w:rsid w:val="007C42CC"/>
    <w:rsid w:val="007D2398"/>
    <w:rsid w:val="007D5E92"/>
    <w:rsid w:val="007E240F"/>
    <w:rsid w:val="007E41E1"/>
    <w:rsid w:val="008028E8"/>
    <w:rsid w:val="0082224E"/>
    <w:rsid w:val="008229C8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97670"/>
    <w:rsid w:val="009A2FE1"/>
    <w:rsid w:val="009A4A4B"/>
    <w:rsid w:val="009B0ED9"/>
    <w:rsid w:val="009B39E8"/>
    <w:rsid w:val="009B600A"/>
    <w:rsid w:val="009C0147"/>
    <w:rsid w:val="009D51C7"/>
    <w:rsid w:val="00A010C4"/>
    <w:rsid w:val="00A06BA0"/>
    <w:rsid w:val="00A12E1A"/>
    <w:rsid w:val="00A12EA3"/>
    <w:rsid w:val="00A27764"/>
    <w:rsid w:val="00A31FEF"/>
    <w:rsid w:val="00A37445"/>
    <w:rsid w:val="00A500BF"/>
    <w:rsid w:val="00A609DF"/>
    <w:rsid w:val="00A61441"/>
    <w:rsid w:val="00A64489"/>
    <w:rsid w:val="00A67CC0"/>
    <w:rsid w:val="00A71507"/>
    <w:rsid w:val="00A75281"/>
    <w:rsid w:val="00A8133F"/>
    <w:rsid w:val="00A821D9"/>
    <w:rsid w:val="00A827FC"/>
    <w:rsid w:val="00A83419"/>
    <w:rsid w:val="00AA4EE4"/>
    <w:rsid w:val="00AD37C8"/>
    <w:rsid w:val="00AE0249"/>
    <w:rsid w:val="00AF3299"/>
    <w:rsid w:val="00AF7709"/>
    <w:rsid w:val="00B06439"/>
    <w:rsid w:val="00B10F4C"/>
    <w:rsid w:val="00B14FD0"/>
    <w:rsid w:val="00B2065F"/>
    <w:rsid w:val="00B20B77"/>
    <w:rsid w:val="00B26505"/>
    <w:rsid w:val="00B32911"/>
    <w:rsid w:val="00B33D13"/>
    <w:rsid w:val="00B54284"/>
    <w:rsid w:val="00B6741B"/>
    <w:rsid w:val="00B72884"/>
    <w:rsid w:val="00B80BC2"/>
    <w:rsid w:val="00B866E3"/>
    <w:rsid w:val="00B935A3"/>
    <w:rsid w:val="00B954E3"/>
    <w:rsid w:val="00BA1B97"/>
    <w:rsid w:val="00BC771B"/>
    <w:rsid w:val="00BD6659"/>
    <w:rsid w:val="00BE7B7B"/>
    <w:rsid w:val="00C0379C"/>
    <w:rsid w:val="00C10E44"/>
    <w:rsid w:val="00C253BF"/>
    <w:rsid w:val="00C2669F"/>
    <w:rsid w:val="00C331A9"/>
    <w:rsid w:val="00C55181"/>
    <w:rsid w:val="00C62F9D"/>
    <w:rsid w:val="00C64C0B"/>
    <w:rsid w:val="00C70464"/>
    <w:rsid w:val="00C75220"/>
    <w:rsid w:val="00C83FFD"/>
    <w:rsid w:val="00C84DE2"/>
    <w:rsid w:val="00C953A5"/>
    <w:rsid w:val="00CC1C73"/>
    <w:rsid w:val="00CC22CF"/>
    <w:rsid w:val="00CD258A"/>
    <w:rsid w:val="00CD5141"/>
    <w:rsid w:val="00CD64E3"/>
    <w:rsid w:val="00CE0BB7"/>
    <w:rsid w:val="00CE31C4"/>
    <w:rsid w:val="00CF3443"/>
    <w:rsid w:val="00D1524D"/>
    <w:rsid w:val="00D15933"/>
    <w:rsid w:val="00D15F1D"/>
    <w:rsid w:val="00D34B80"/>
    <w:rsid w:val="00D42997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A70EB"/>
    <w:rsid w:val="00DC0D0E"/>
    <w:rsid w:val="00DC0D2C"/>
    <w:rsid w:val="00DC7F16"/>
    <w:rsid w:val="00DF2B72"/>
    <w:rsid w:val="00DF3D22"/>
    <w:rsid w:val="00E27249"/>
    <w:rsid w:val="00E350B5"/>
    <w:rsid w:val="00E42DA8"/>
    <w:rsid w:val="00E504BC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32718"/>
    <w:rsid w:val="00F33599"/>
    <w:rsid w:val="00F34EF1"/>
    <w:rsid w:val="00F4576E"/>
    <w:rsid w:val="00F61FA1"/>
    <w:rsid w:val="00F65B8E"/>
    <w:rsid w:val="00F80F8C"/>
    <w:rsid w:val="00F85098"/>
    <w:rsid w:val="00F95A0E"/>
    <w:rsid w:val="00F96703"/>
    <w:rsid w:val="00FA2BC1"/>
    <w:rsid w:val="00FA3DE1"/>
    <w:rsid w:val="00FA424E"/>
    <w:rsid w:val="00FA47B5"/>
    <w:rsid w:val="00FA72BE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74963"/>
  <w15:docId w15:val="{CFD40438-FA2A-4DD5-8944-B2596E3C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43DF-13F6-4E94-92EB-6B7AEDFD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8</cp:revision>
  <cp:lastPrinted>2018-07-06T08:48:00Z</cp:lastPrinted>
  <dcterms:created xsi:type="dcterms:W3CDTF">2019-06-06T08:29:00Z</dcterms:created>
  <dcterms:modified xsi:type="dcterms:W3CDTF">2019-06-14T05:46:00Z</dcterms:modified>
</cp:coreProperties>
</file>