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52" w:rsidRPr="0074453D" w:rsidRDefault="00775552" w:rsidP="009930B4">
      <w:pPr>
        <w:spacing w:line="360" w:lineRule="auto"/>
        <w:jc w:val="center"/>
        <w:rPr>
          <w:rFonts w:cs="Calibri"/>
          <w:b/>
          <w:lang w:eastAsia="zh-CN"/>
        </w:rPr>
      </w:pPr>
      <w:r w:rsidRPr="0074453D">
        <w:rPr>
          <w:rFonts w:cs="Calibri"/>
          <w:b/>
          <w:lang w:eastAsia="zh-CN"/>
        </w:rPr>
        <w:t>OPIS PRZEDMIOTU ZAMÓWIENIA</w:t>
      </w:r>
    </w:p>
    <w:p w:rsidR="00775552" w:rsidRPr="0074453D" w:rsidRDefault="00775552" w:rsidP="009930B4">
      <w:pPr>
        <w:spacing w:after="120"/>
        <w:ind w:left="1560" w:right="2097"/>
        <w:jc w:val="center"/>
        <w:rPr>
          <w:rFonts w:cs="Calibri"/>
          <w:b/>
          <w:bdr w:val="none" w:sz="0" w:space="0" w:color="auto" w:frame="1"/>
        </w:rPr>
      </w:pPr>
      <w:r w:rsidRPr="0074453D">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775552" w:rsidRDefault="00775552" w:rsidP="009930B4">
      <w:pPr>
        <w:spacing w:after="120"/>
        <w:ind w:right="-30"/>
        <w:jc w:val="center"/>
        <w:rPr>
          <w:rFonts w:cs="Calibri"/>
        </w:rPr>
      </w:pPr>
      <w:r w:rsidRPr="0074453D">
        <w:rPr>
          <w:rFonts w:cs="Calibri"/>
          <w:highlight w:val="yellow"/>
        </w:rPr>
        <w:t>Po modyfikacji 1</w:t>
      </w:r>
    </w:p>
    <w:p w:rsidR="002A4721" w:rsidRDefault="002A4721" w:rsidP="009930B4">
      <w:pPr>
        <w:spacing w:after="120"/>
        <w:ind w:right="-30"/>
        <w:jc w:val="center"/>
        <w:rPr>
          <w:rFonts w:cs="Calibri"/>
        </w:rPr>
      </w:pPr>
      <w:r w:rsidRPr="002510B5">
        <w:rPr>
          <w:rFonts w:cs="Calibri"/>
          <w:highlight w:val="green"/>
        </w:rPr>
        <w:t>Po odpowiedziach 1 i zmianach</w:t>
      </w:r>
    </w:p>
    <w:p w:rsidR="007955E5" w:rsidRPr="0074453D" w:rsidRDefault="00407937" w:rsidP="009930B4">
      <w:pPr>
        <w:spacing w:after="120"/>
        <w:ind w:right="-30"/>
        <w:jc w:val="center"/>
        <w:rPr>
          <w:rFonts w:cs="Calibri"/>
        </w:rPr>
      </w:pPr>
      <w:r w:rsidRPr="00407937">
        <w:rPr>
          <w:rFonts w:cs="Calibri"/>
          <w:highlight w:val="yellow"/>
        </w:rPr>
        <w:t>Po modyfikacji 8</w:t>
      </w:r>
      <w:bookmarkStart w:id="0" w:name="_GoBack"/>
      <w:bookmarkEnd w:id="0"/>
    </w:p>
    <w:p w:rsidR="00775552" w:rsidRPr="0074453D" w:rsidRDefault="00775552" w:rsidP="009930B4">
      <w:pPr>
        <w:spacing w:after="120"/>
        <w:ind w:right="2238"/>
        <w:jc w:val="both"/>
        <w:rPr>
          <w:rFonts w:cs="Calibri"/>
        </w:rPr>
      </w:pP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t>Uwagi i objaśnienia:</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zobowiązany jest do podania parametrów w jednostkach wskazanych w niniejszym opisie.</w:t>
      </w:r>
    </w:p>
    <w:p w:rsidR="00775552" w:rsidRDefault="00775552" w:rsidP="00B743B5">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gwarantuje niniejszym, że sprzęt jest fabrycznie nowy (rok produkcji</w:t>
      </w:r>
      <w:r w:rsidRPr="006F7B5A">
        <w:rPr>
          <w:rFonts w:cs="Calibri"/>
          <w:sz w:val="20"/>
          <w:szCs w:val="20"/>
          <w:highlight w:val="green"/>
          <w:lang w:eastAsia="zh-CN"/>
        </w:rPr>
        <w:t xml:space="preserve">: nie wcześniej niż </w:t>
      </w:r>
      <w:r w:rsidRPr="002510B5">
        <w:rPr>
          <w:rFonts w:cs="Calibri"/>
          <w:strike/>
          <w:sz w:val="20"/>
          <w:szCs w:val="20"/>
          <w:highlight w:val="green"/>
          <w:lang w:eastAsia="zh-CN"/>
        </w:rPr>
        <w:t xml:space="preserve">2018 </w:t>
      </w:r>
      <w:r w:rsidRPr="002510B5">
        <w:rPr>
          <w:rFonts w:cs="Calibri"/>
          <w:sz w:val="20"/>
          <w:szCs w:val="20"/>
          <w:highlight w:val="green"/>
          <w:lang w:eastAsia="zh-CN"/>
        </w:rPr>
        <w:t>2019</w:t>
      </w:r>
      <w:r w:rsidRPr="0074453D">
        <w:rPr>
          <w:rFonts w:cs="Calibri"/>
          <w:sz w:val="20"/>
          <w:szCs w:val="20"/>
          <w:lang w:eastAsia="zh-CN"/>
        </w:rPr>
        <w:t>), nieużywany, kompletny i do jego uruchomienia oraz stosowania zgodnie z przeznaczeniem nie jest konieczny zakup dodatkowych elementów i akcesoriów.</w:t>
      </w:r>
    </w:p>
    <w:p w:rsidR="00962702" w:rsidRPr="00D54991" w:rsidRDefault="00962702" w:rsidP="00962702">
      <w:pPr>
        <w:numPr>
          <w:ilvl w:val="0"/>
          <w:numId w:val="15"/>
        </w:numPr>
        <w:suppressAutoHyphens/>
        <w:autoSpaceDN w:val="0"/>
        <w:spacing w:after="0" w:line="288" w:lineRule="auto"/>
        <w:jc w:val="both"/>
        <w:textAlignment w:val="baseline"/>
        <w:rPr>
          <w:rFonts w:cs="Calibri"/>
          <w:sz w:val="20"/>
          <w:szCs w:val="20"/>
          <w:highlight w:val="green"/>
          <w:lang w:eastAsia="zh-CN"/>
        </w:rPr>
      </w:pPr>
      <w:r w:rsidRPr="00D54991">
        <w:rPr>
          <w:rFonts w:cs="Calibri"/>
          <w:sz w:val="20"/>
          <w:szCs w:val="20"/>
          <w:highlight w:val="green"/>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w:t>
      </w:r>
      <w:r w:rsidR="00D54991">
        <w:rPr>
          <w:rFonts w:cs="Calibri"/>
          <w:sz w:val="20"/>
          <w:szCs w:val="20"/>
          <w:highlight w:val="green"/>
          <w:lang w:eastAsia="zh-CN"/>
        </w:rPr>
        <w:t>puszcza rozwiązania równoważne.</w:t>
      </w:r>
    </w:p>
    <w:p w:rsidR="00775552" w:rsidRPr="0074453D" w:rsidRDefault="00775552" w:rsidP="00800A7F">
      <w:pPr>
        <w:spacing w:line="288" w:lineRule="auto"/>
        <w:rPr>
          <w:rFonts w:cs="Calibri"/>
          <w:sz w:val="20"/>
          <w:szCs w:val="20"/>
          <w:lang w:eastAsia="zh-CN"/>
        </w:rPr>
      </w:pPr>
    </w:p>
    <w:p w:rsidR="00775552" w:rsidRPr="0074453D" w:rsidRDefault="00775552" w:rsidP="00800A7F">
      <w:pPr>
        <w:autoSpaceDE w:val="0"/>
        <w:adjustRightInd w:val="0"/>
        <w:spacing w:line="288" w:lineRule="auto"/>
        <w:rPr>
          <w:rFonts w:cs="Calibri"/>
          <w:sz w:val="20"/>
          <w:szCs w:val="20"/>
          <w:lang w:eastAsia="pl-PL"/>
        </w:rPr>
      </w:pPr>
      <w:r w:rsidRPr="0074453D">
        <w:rPr>
          <w:rFonts w:cs="Calibri"/>
          <w:sz w:val="20"/>
          <w:szCs w:val="20"/>
          <w:lang w:eastAsia="pl-PL"/>
        </w:rPr>
        <w:t>Nazwa i typ: ............................................................</w:t>
      </w:r>
    </w:p>
    <w:p w:rsidR="00775552" w:rsidRPr="0074453D" w:rsidRDefault="00775552" w:rsidP="00800A7F">
      <w:pPr>
        <w:autoSpaceDE w:val="0"/>
        <w:adjustRightInd w:val="0"/>
        <w:spacing w:line="288" w:lineRule="auto"/>
        <w:rPr>
          <w:rFonts w:cs="Calibri"/>
          <w:b/>
          <w:sz w:val="20"/>
          <w:szCs w:val="20"/>
          <w:lang w:eastAsia="pl-PL"/>
        </w:rPr>
      </w:pPr>
      <w:r w:rsidRPr="0074453D">
        <w:rPr>
          <w:rFonts w:cs="Calibri"/>
          <w:sz w:val="20"/>
          <w:szCs w:val="20"/>
          <w:lang w:eastAsia="pl-PL"/>
        </w:rPr>
        <w:t>Producent / kraj pochodzenia: ............................................................</w:t>
      </w:r>
    </w:p>
    <w:p w:rsidR="00775552" w:rsidRPr="0074453D" w:rsidRDefault="00775552" w:rsidP="00800A7F">
      <w:pPr>
        <w:spacing w:line="288" w:lineRule="auto"/>
        <w:rPr>
          <w:rFonts w:cs="Calibri"/>
          <w:b/>
          <w:sz w:val="20"/>
          <w:szCs w:val="20"/>
          <w:lang w:eastAsia="zh-CN"/>
        </w:rPr>
      </w:pPr>
      <w:r w:rsidRPr="0074453D">
        <w:rPr>
          <w:rFonts w:cs="Calibri"/>
          <w:sz w:val="20"/>
          <w:szCs w:val="20"/>
          <w:lang w:eastAsia="zh-CN"/>
        </w:rPr>
        <w:t>Rok produkcji (</w:t>
      </w:r>
      <w:r w:rsidRPr="006F7B5A">
        <w:rPr>
          <w:rFonts w:cs="Calibri"/>
          <w:sz w:val="20"/>
          <w:szCs w:val="20"/>
          <w:highlight w:val="green"/>
          <w:lang w:eastAsia="zh-CN"/>
        </w:rPr>
        <w:t xml:space="preserve">nie wcześniej niż </w:t>
      </w:r>
      <w:r w:rsidRPr="002510B5">
        <w:rPr>
          <w:rFonts w:cs="Calibri"/>
          <w:strike/>
          <w:sz w:val="20"/>
          <w:szCs w:val="20"/>
          <w:highlight w:val="green"/>
          <w:lang w:eastAsia="zh-CN"/>
        </w:rPr>
        <w:t>2018</w:t>
      </w:r>
      <w:r w:rsidRPr="002510B5">
        <w:rPr>
          <w:rFonts w:cs="Calibri"/>
          <w:sz w:val="20"/>
          <w:szCs w:val="20"/>
          <w:highlight w:val="green"/>
          <w:lang w:eastAsia="zh-CN"/>
        </w:rPr>
        <w:t xml:space="preserve"> 2019</w:t>
      </w:r>
      <w:r w:rsidRPr="0074453D">
        <w:rPr>
          <w:rFonts w:cs="Calibri"/>
          <w:sz w:val="20"/>
          <w:szCs w:val="20"/>
          <w:lang w:eastAsia="zh-CN"/>
        </w:rPr>
        <w:t>): ............................................................</w:t>
      </w: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lastRenderedPageBreak/>
        <w:t>Klasa wyrobu medycznego: ............................................................</w:t>
      </w:r>
    </w:p>
    <w:p w:rsidR="00775552" w:rsidRPr="0074453D" w:rsidRDefault="00775552">
      <w:pPr>
        <w:spacing w:after="200" w:line="276" w:lineRule="auto"/>
        <w:rPr>
          <w:rFonts w:cs="Calibri"/>
          <w:sz w:val="20"/>
          <w:szCs w:val="20"/>
          <w:lang w:eastAsia="zh-CN"/>
        </w:rPr>
      </w:pPr>
    </w:p>
    <w:p w:rsidR="00775552" w:rsidRPr="0074453D" w:rsidRDefault="00775552"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75552" w:rsidRPr="0074453D"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rPr>
                <w:rFonts w:cs="Calibri"/>
                <w:b/>
              </w:rPr>
            </w:pPr>
            <w:r w:rsidRPr="0074453D">
              <w:rPr>
                <w:rFonts w:cs="Calibri"/>
                <w:bCs/>
              </w:rPr>
              <w:t xml:space="preserve">Przedmiot: </w:t>
            </w:r>
            <w:r w:rsidRPr="0074453D">
              <w:rPr>
                <w:rFonts w:cs="Calibri"/>
                <w:b/>
              </w:rPr>
              <w:t>Aparat SPECT-CT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jc w:val="right"/>
              <w:rPr>
                <w:rFonts w:cs="Calibri"/>
                <w:b/>
                <w:bCs/>
              </w:rPr>
            </w:pPr>
            <w:r w:rsidRPr="0074453D">
              <w:rPr>
                <w:rFonts w:cs="Calibri"/>
                <w:b/>
                <w:bCs/>
              </w:rPr>
              <w:t>Cena brutto (w zł)</w:t>
            </w:r>
          </w:p>
        </w:tc>
      </w:tr>
      <w:tr w:rsidR="00775552" w:rsidRPr="0074453D"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w:t>
            </w:r>
            <w:r w:rsidRPr="0074453D">
              <w:rPr>
                <w:rFonts w:cs="Calibri"/>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Ilość sztuk sprzętu:</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
                <w:bCs/>
              </w:rPr>
            </w:pP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r w:rsidRPr="0074453D">
              <w:rPr>
                <w:rFonts w:cs="Calibri"/>
                <w:b/>
                <w:bCs/>
              </w:rPr>
              <w:t>2</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B:</w:t>
            </w:r>
            <w:r w:rsidRPr="0074453D">
              <w:rPr>
                <w:rFonts w:cs="Calibri"/>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C:</w:t>
            </w:r>
            <w:r w:rsidRPr="0074453D">
              <w:rPr>
                <w:rFonts w:cs="Calibri"/>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D:</w:t>
            </w:r>
            <w:r w:rsidRPr="0074453D">
              <w:rPr>
                <w:rFonts w:cs="Calibri"/>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A+B+C+D:</w:t>
            </w:r>
            <w:r w:rsidRPr="0074453D">
              <w:rPr>
                <w:rFonts w:cs="Calibri"/>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bl>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pPr>
        <w:spacing w:after="200" w:line="276" w:lineRule="auto"/>
        <w:rPr>
          <w:rFonts w:cs="Calibri"/>
          <w:b/>
          <w:bCs/>
          <w:i/>
          <w:iCs/>
          <w:sz w:val="20"/>
          <w:szCs w:val="20"/>
          <w:shd w:val="clear" w:color="auto" w:fill="CCCCCC"/>
          <w:lang w:eastAsia="zh-CN"/>
        </w:rPr>
      </w:pPr>
      <w:r w:rsidRPr="0074453D">
        <w:rPr>
          <w:rFonts w:cs="Calibri"/>
          <w:b/>
          <w:bCs/>
          <w:i/>
          <w:iCs/>
          <w:sz w:val="20"/>
          <w:szCs w:val="20"/>
          <w:shd w:val="clear" w:color="auto" w:fill="CCCCCC"/>
          <w:lang w:eastAsia="zh-CN"/>
        </w:rPr>
        <w:br w:type="page"/>
      </w:r>
    </w:p>
    <w:p w:rsidR="00775552" w:rsidRPr="0074453D" w:rsidRDefault="00775552" w:rsidP="00836009">
      <w:pPr>
        <w:pStyle w:val="Nagwek2"/>
        <w:ind w:left="567"/>
        <w:rPr>
          <w:rFonts w:ascii="Calibri" w:hAnsi="Calibri" w:cs="Calibri"/>
          <w:sz w:val="22"/>
          <w:szCs w:val="22"/>
        </w:rPr>
      </w:pPr>
      <w:r w:rsidRPr="0074453D">
        <w:rPr>
          <w:rFonts w:ascii="Calibri" w:hAnsi="Calibri" w:cs="Calibri"/>
          <w:sz w:val="22"/>
          <w:szCs w:val="22"/>
          <w:lang w:eastAsia="zh-CN"/>
        </w:rPr>
        <w:lastRenderedPageBreak/>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775552" w:rsidRPr="0074453D" w:rsidTr="00C43122">
        <w:tc>
          <w:tcPr>
            <w:tcW w:w="567" w:type="dxa"/>
            <w:vAlign w:val="center"/>
          </w:tcPr>
          <w:p w:rsidR="00775552" w:rsidRPr="0074453D" w:rsidRDefault="00775552" w:rsidP="00C43122">
            <w:pPr>
              <w:pStyle w:val="Akapitzlist"/>
              <w:ind w:hanging="720"/>
              <w:rPr>
                <w:rFonts w:cs="Calibri"/>
                <w:sz w:val="18"/>
                <w:szCs w:val="18"/>
              </w:rPr>
            </w:pPr>
            <w:r w:rsidRPr="0074453D">
              <w:rPr>
                <w:rFonts w:cs="Calibri"/>
                <w:b/>
                <w:sz w:val="18"/>
                <w:szCs w:val="18"/>
              </w:rPr>
              <w:t>Lp</w:t>
            </w:r>
          </w:p>
        </w:tc>
        <w:tc>
          <w:tcPr>
            <w:tcW w:w="6096" w:type="dxa"/>
            <w:vAlign w:val="center"/>
          </w:tcPr>
          <w:p w:rsidR="00775552" w:rsidRPr="0074453D" w:rsidRDefault="00775552" w:rsidP="002F3D91">
            <w:pPr>
              <w:rPr>
                <w:rFonts w:cs="Calibri"/>
                <w:sz w:val="20"/>
                <w:szCs w:val="20"/>
              </w:rPr>
            </w:pPr>
            <w:r w:rsidRPr="0074453D">
              <w:rPr>
                <w:rFonts w:cs="Calibri"/>
                <w:b/>
                <w:sz w:val="20"/>
                <w:szCs w:val="20"/>
              </w:rPr>
              <w:t>Opis parametru</w:t>
            </w:r>
          </w:p>
        </w:tc>
        <w:tc>
          <w:tcPr>
            <w:tcW w:w="1975" w:type="dxa"/>
            <w:vAlign w:val="center"/>
          </w:tcPr>
          <w:p w:rsidR="00775552" w:rsidRPr="0074453D" w:rsidRDefault="00775552" w:rsidP="00C43122">
            <w:pPr>
              <w:jc w:val="center"/>
              <w:rPr>
                <w:rFonts w:cs="Calibri"/>
                <w:sz w:val="20"/>
                <w:szCs w:val="20"/>
              </w:rPr>
            </w:pPr>
            <w:r w:rsidRPr="0074453D">
              <w:rPr>
                <w:rFonts w:cs="Calibri"/>
                <w:b/>
                <w:sz w:val="20"/>
                <w:szCs w:val="20"/>
              </w:rPr>
              <w:t>Parametr wymagany/ wartość</w:t>
            </w:r>
          </w:p>
        </w:tc>
        <w:tc>
          <w:tcPr>
            <w:tcW w:w="3128" w:type="dxa"/>
            <w:vAlign w:val="center"/>
          </w:tcPr>
          <w:p w:rsidR="00775552" w:rsidRPr="0074453D" w:rsidRDefault="00775552" w:rsidP="00C43122">
            <w:pPr>
              <w:jc w:val="center"/>
              <w:rPr>
                <w:rFonts w:cs="Calibri"/>
                <w:sz w:val="20"/>
                <w:szCs w:val="20"/>
              </w:rPr>
            </w:pPr>
            <w:r w:rsidRPr="0074453D">
              <w:rPr>
                <w:rFonts w:cs="Calibri"/>
                <w:b/>
                <w:sz w:val="20"/>
                <w:szCs w:val="20"/>
              </w:rPr>
              <w:t>Parametr oferowany</w:t>
            </w:r>
          </w:p>
        </w:tc>
        <w:tc>
          <w:tcPr>
            <w:tcW w:w="3260" w:type="dxa"/>
            <w:vAlign w:val="center"/>
          </w:tcPr>
          <w:p w:rsidR="00775552" w:rsidRPr="0074453D" w:rsidRDefault="00775552" w:rsidP="00C43122">
            <w:pPr>
              <w:jc w:val="center"/>
              <w:rPr>
                <w:rFonts w:cs="Calibri"/>
                <w:sz w:val="20"/>
                <w:szCs w:val="20"/>
              </w:rPr>
            </w:pPr>
            <w:r w:rsidRPr="0074453D">
              <w:rPr>
                <w:rFonts w:cs="Calibri"/>
                <w:b/>
                <w:sz w:val="20"/>
                <w:szCs w:val="20"/>
              </w:rPr>
              <w:t>Sposób oceny parametru</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ogólne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8C3376">
            <w:pPr>
              <w:rPr>
                <w:rFonts w:cs="Calibri"/>
                <w:sz w:val="20"/>
                <w:szCs w:val="20"/>
              </w:rPr>
            </w:pPr>
            <w:r w:rsidRPr="0074453D">
              <w:rPr>
                <w:rFonts w:cs="Calibri"/>
                <w:sz w:val="20"/>
                <w:szCs w:val="20"/>
              </w:rPr>
              <w:t xml:space="preserve">Aparat fabrycznie nowy, z bieżącej </w:t>
            </w:r>
            <w:r w:rsidRPr="006F7B5A">
              <w:rPr>
                <w:rFonts w:cs="Calibri"/>
                <w:sz w:val="20"/>
                <w:szCs w:val="20"/>
              </w:rPr>
              <w:t>produkcji</w:t>
            </w:r>
            <w:r w:rsidRPr="006F7B5A">
              <w:rPr>
                <w:rFonts w:cs="Calibri"/>
                <w:sz w:val="20"/>
                <w:szCs w:val="20"/>
                <w:highlight w:val="green"/>
              </w:rPr>
              <w:t>, nie wcześniej niż</w:t>
            </w:r>
            <w:r w:rsidRPr="002510B5">
              <w:rPr>
                <w:rFonts w:cs="Calibri"/>
                <w:sz w:val="20"/>
                <w:szCs w:val="20"/>
                <w:highlight w:val="green"/>
              </w:rPr>
              <w:t xml:space="preserve"> </w:t>
            </w:r>
            <w:r w:rsidR="00287008" w:rsidRPr="002510B5">
              <w:rPr>
                <w:rFonts w:cs="Calibri"/>
                <w:sz w:val="20"/>
                <w:szCs w:val="20"/>
                <w:highlight w:val="green"/>
              </w:rPr>
              <w:t xml:space="preserve">z </w:t>
            </w:r>
            <w:r w:rsidRPr="002510B5">
              <w:rPr>
                <w:rFonts w:cs="Calibri"/>
                <w:sz w:val="20"/>
                <w:szCs w:val="20"/>
                <w:highlight w:val="green"/>
              </w:rPr>
              <w:t>2019</w:t>
            </w:r>
            <w:r w:rsidR="00287008" w:rsidRPr="002510B5">
              <w:rPr>
                <w:rFonts w:cs="Calibri"/>
                <w:sz w:val="20"/>
                <w:szCs w:val="20"/>
                <w:highlight w:val="green"/>
              </w:rPr>
              <w:t xml:space="preserve"> </w:t>
            </w:r>
            <w:r w:rsidRPr="002510B5">
              <w:rPr>
                <w:rFonts w:cs="Calibri"/>
                <w:sz w:val="20"/>
                <w:szCs w:val="20"/>
                <w:highlight w:val="green"/>
              </w:rPr>
              <w:t>rok</w:t>
            </w:r>
            <w:r w:rsidR="00287008" w:rsidRPr="002510B5">
              <w:rPr>
                <w:rFonts w:cs="Calibri"/>
                <w:sz w:val="20"/>
                <w:szCs w:val="20"/>
                <w:highlight w:val="green"/>
              </w:rPr>
              <w:t>u</w:t>
            </w:r>
            <w:r w:rsidRPr="0074453D">
              <w:rPr>
                <w:rFonts w:cs="Calibri"/>
                <w:sz w:val="20"/>
                <w:szCs w:val="20"/>
              </w:rPr>
              <w:t xml:space="preserve"> (wszystkie elementy i części składowe systemów nowe, nieużywane i nierekondycjonowane) </w:t>
            </w:r>
          </w:p>
        </w:tc>
        <w:tc>
          <w:tcPr>
            <w:tcW w:w="1975"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pStyle w:val="Zawartotabeli"/>
              <w:snapToGrid w:val="0"/>
              <w:jc w:val="center"/>
              <w:rPr>
                <w:rFonts w:ascii="Calibri" w:hAnsi="Calibri" w:cs="Calibri"/>
                <w:sz w:val="20"/>
                <w:szCs w:val="20"/>
              </w:rPr>
            </w:pPr>
          </w:p>
        </w:tc>
        <w:tc>
          <w:tcPr>
            <w:tcW w:w="3260"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Gamma kamera SPECT/CT– szt. 2</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wspólne</w:t>
            </w:r>
          </w:p>
        </w:tc>
      </w:tr>
      <w:tr w:rsidR="00775552" w:rsidRPr="0074453D" w:rsidTr="00C43122">
        <w:tc>
          <w:tcPr>
            <w:tcW w:w="567" w:type="dxa"/>
            <w:vAlign w:val="center"/>
          </w:tcPr>
          <w:p w:rsidR="00775552" w:rsidRPr="0074453D" w:rsidRDefault="00775552" w:rsidP="00C43122">
            <w:pPr>
              <w:pStyle w:val="Akapitzlist"/>
              <w:ind w:hanging="720"/>
              <w:rPr>
                <w:rFonts w:cs="Calibri"/>
                <w:sz w:val="20"/>
                <w:szCs w:val="20"/>
              </w:rPr>
            </w:pPr>
          </w:p>
        </w:tc>
        <w:tc>
          <w:tcPr>
            <w:tcW w:w="6096" w:type="dxa"/>
            <w:vAlign w:val="center"/>
          </w:tcPr>
          <w:p w:rsidR="00775552" w:rsidRPr="0074453D" w:rsidRDefault="00A43E73" w:rsidP="00ED1FE9">
            <w:pPr>
              <w:jc w:val="both"/>
              <w:rPr>
                <w:rFonts w:cs="Calibri"/>
                <w:sz w:val="20"/>
                <w:szCs w:val="20"/>
              </w:rPr>
            </w:pPr>
            <w:r w:rsidRPr="00ED1FE9">
              <w:rPr>
                <w:rFonts w:asciiTheme="minorHAnsi" w:hAnsiTheme="minorHAnsi" w:cstheme="minorHAnsi"/>
                <w:sz w:val="20"/>
                <w:szCs w:val="20"/>
                <w:highlight w:val="green"/>
              </w:rPr>
              <w:t>Oferowany poniżej sprzęt jest kompletny i będzie po zainstalowaniu gotów do podjęcia wyszczególnionych badań medycznych bez żadnych dodatkowych zakupów i inwestycji. S</w:t>
            </w:r>
            <w:r w:rsidR="00ED1FE9" w:rsidRPr="00ED1FE9">
              <w:rPr>
                <w:rFonts w:asciiTheme="minorHAnsi" w:hAnsiTheme="minorHAnsi" w:cstheme="minorHAnsi"/>
                <w:sz w:val="20"/>
                <w:szCs w:val="20"/>
                <w:highlight w:val="green"/>
              </w:rPr>
              <w:t xml:space="preserve">ystemy nie mają być prototypem, </w:t>
            </w:r>
            <w:r w:rsidRPr="00904B9F">
              <w:rPr>
                <w:rFonts w:asciiTheme="minorHAnsi" w:hAnsiTheme="minorHAnsi" w:cstheme="minorHAnsi"/>
                <w:sz w:val="20"/>
                <w:szCs w:val="20"/>
                <w:highlight w:val="green"/>
              </w:rPr>
              <w:t>zaoferowane funkcjonalności skanera muszą być możliwe do prezentacji</w:t>
            </w:r>
            <w:r w:rsidR="00ED1FE9" w:rsidRPr="00904B9F">
              <w:rPr>
                <w:highlight w:val="green"/>
              </w:rPr>
              <w:t xml:space="preserve"> (</w:t>
            </w:r>
            <w:r w:rsidR="00ED1FE9" w:rsidRPr="00904B9F">
              <w:rPr>
                <w:rFonts w:asciiTheme="minorHAnsi" w:hAnsiTheme="minorHAnsi" w:cstheme="minorHAnsi"/>
                <w:sz w:val="20"/>
                <w:szCs w:val="20"/>
                <w:highlight w:val="green"/>
              </w:rPr>
              <w:t>na wezwanie zamawiającego)</w:t>
            </w:r>
            <w:r w:rsidRPr="00904B9F">
              <w:rPr>
                <w:rFonts w:asciiTheme="minorHAnsi" w:hAnsiTheme="minorHAnsi" w:cstheme="minorHAnsi"/>
                <w:sz w:val="20"/>
                <w:szCs w:val="20"/>
                <w:highlight w:val="green"/>
              </w:rPr>
              <w:t xml:space="preserve"> w </w:t>
            </w:r>
            <w:r w:rsidRPr="00ED1FE9">
              <w:rPr>
                <w:rFonts w:asciiTheme="minorHAnsi" w:hAnsiTheme="minorHAnsi" w:cstheme="minorHAnsi"/>
                <w:sz w:val="20"/>
                <w:szCs w:val="20"/>
                <w:highlight w:val="green"/>
              </w:rPr>
              <w:t>zainstalowanym i pracującym skanerze (s</w:t>
            </w:r>
            <w:r w:rsidR="00ED1FE9">
              <w:rPr>
                <w:rFonts w:asciiTheme="minorHAnsi" w:hAnsiTheme="minorHAnsi" w:cstheme="minorHAnsi"/>
                <w:sz w:val="20"/>
                <w:szCs w:val="20"/>
                <w:highlight w:val="green"/>
              </w:rPr>
              <w:t>kanerach) na terenie PL lub EU.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7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F3D91">
            <w:pPr>
              <w:rPr>
                <w:rFonts w:cs="Calibri"/>
                <w:sz w:val="20"/>
                <w:szCs w:val="20"/>
              </w:rPr>
            </w:pPr>
            <w:r w:rsidRPr="0074453D">
              <w:rPr>
                <w:rFonts w:cs="Calibri"/>
                <w:sz w:val="20"/>
                <w:szCs w:val="20"/>
              </w:rPr>
              <w:t>Wpisać nazwę i model, producenta oraz rok produkcji dla obu oferowanych gamma kamer.</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rutynowo badania SPECT/CT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badania SPECT bez badania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diagnostycznego badania CT bez badania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opracowania i raportowania wszystkich testów dotyczących SPECT, CT, SPECT/CT wg obowiązujących przepisów </w:t>
            </w:r>
            <w:r w:rsidRPr="0074453D">
              <w:rPr>
                <w:rFonts w:cs="Calibri"/>
                <w:sz w:val="20"/>
                <w:szCs w:val="20"/>
              </w:rPr>
              <w:lastRenderedPageBreak/>
              <w:t>krajowych .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opracowania i raportowania wszystkich testów dotyczących SPECT wg standardu NEMA.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Średnica otworu gantry SPECT i gantry CT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 xml:space="preserve">Podgląd położenia pacjenta na monitorze podglądu (persistence scope) przy gantry aparatu: Jeden monitor podglądu dostępny </w:t>
            </w:r>
            <w:r w:rsidRPr="0074453D">
              <w:rPr>
                <w:rFonts w:cs="Calibri"/>
                <w:sz w:val="20"/>
                <w:szCs w:val="20"/>
              </w:rPr>
              <w:br/>
              <w:t>z obu stron gantry (bez konieczności demontażu), prezentujący dodatkowo podgląd obrazu z obu detektorów, parametry pozycji gantry, parametry pozycji detektorów, parametry pozycji stołu, typ zainstalowanego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EC15AE">
            <w:pPr>
              <w:rPr>
                <w:rFonts w:cs="Calibri"/>
                <w:sz w:val="20"/>
                <w:szCs w:val="20"/>
              </w:rPr>
            </w:pPr>
            <w:r w:rsidRPr="0074453D">
              <w:rPr>
                <w:rFonts w:cs="Calibri"/>
                <w:sz w:val="20"/>
                <w:szCs w:val="20"/>
              </w:rPr>
              <w:t xml:space="preserve">Przyciski bezpieczeństwa STOP – do natychmiastowego awaryjnego wyłączenia systemu – umieszczone po obu stronach </w:t>
            </w:r>
            <w:r w:rsidRPr="00E80B55">
              <w:rPr>
                <w:rFonts w:cs="Calibri"/>
                <w:sz w:val="20"/>
                <w:szCs w:val="20"/>
              </w:rPr>
              <w:t xml:space="preserve">gantry. </w:t>
            </w:r>
            <w:r w:rsidRPr="00071086">
              <w:rPr>
                <w:rFonts w:cs="Calibri"/>
                <w:sz w:val="20"/>
                <w:szCs w:val="20"/>
                <w:highlight w:val="green"/>
              </w:rPr>
              <w:t>Za awaryjne wyłączenie rozumie się także rozwiązanie, gdzie przyciski bezpieczeństwa powodują awaryjne zatrzymanie ruchów systemu.</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2 piloty lub 1 pilot do obsługi systemu – dostępne po obu stronach gantry.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A75145">
            <w:pPr>
              <w:jc w:val="both"/>
              <w:rPr>
                <w:rFonts w:cs="Calibri"/>
                <w:lang w:eastAsia="pl-PL"/>
              </w:rPr>
            </w:pPr>
            <w:r w:rsidRPr="0074453D">
              <w:rPr>
                <w:rFonts w:cs="Calibri"/>
                <w:sz w:val="20"/>
                <w:szCs w:val="20"/>
              </w:rPr>
              <w:t>Wymagane zespolenie mechaniczne obu podsystemów SPECT</w:t>
            </w:r>
            <w:r w:rsidRPr="0074453D">
              <w:rPr>
                <w:rFonts w:cs="Calibri"/>
                <w:sz w:val="20"/>
                <w:szCs w:val="20"/>
              </w:rPr>
              <w:br/>
              <w:t xml:space="preserve"> i CT. Jed</w:t>
            </w:r>
            <w:r w:rsidR="00A75145">
              <w:rPr>
                <w:rFonts w:cs="Calibri"/>
                <w:sz w:val="20"/>
                <w:szCs w:val="20"/>
              </w:rPr>
              <w:t>na obudowa dla obu podsystemów.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Wymagana komunikacja z innymi stacjami roboczymi, gamma kamerami i systemem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Aparat nr 1: Gamma kamera SPECT/CT detektorem klasycznym lub detektorem bezpośredniej konwersji promieniowania gamma – szt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66"/>
        </w:trPr>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powinien umożliwić wykonanie a</w:t>
            </w:r>
            <w:r w:rsidR="00E854DD">
              <w:rPr>
                <w:rFonts w:cs="Calibri"/>
                <w:sz w:val="20"/>
                <w:szCs w:val="20"/>
              </w:rPr>
              <w:t xml:space="preserve">kwizycji spiralnej i aksjalnej, </w:t>
            </w:r>
            <w:r w:rsidRPr="002510B5">
              <w:rPr>
                <w:rFonts w:cs="Calibri"/>
                <w:sz w:val="20"/>
                <w:szCs w:val="20"/>
                <w:highlight w:val="green"/>
              </w:rPr>
              <w:t xml:space="preserve">oraz posiadać </w:t>
            </w:r>
            <w:r w:rsidRPr="002510B5">
              <w:rPr>
                <w:sz w:val="20"/>
                <w:szCs w:val="20"/>
                <w:highlight w:val="green"/>
                <w:lang w:eastAsia="pl-PL"/>
              </w:rPr>
              <w:t>automatyczną modulację 3D prądu anody (mA) lamp</w:t>
            </w:r>
            <w:r w:rsidR="00E854DD" w:rsidRPr="002510B5">
              <w:rPr>
                <w:sz w:val="20"/>
                <w:szCs w:val="20"/>
                <w:highlight w:val="green"/>
                <w:lang w:eastAsia="pl-PL"/>
              </w:rPr>
              <w:t>y rtg w płaszczyźnie xy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Odległość od ogniska lampy RTG do detektora (cm)  przekładająca się na mniejsze parametry prądowo-napięciowe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w:t>
            </w:r>
            <w:smartTag w:uri="urn:schemas-microsoft-com:office:smarttags" w:element="metricconverter">
              <w:smartTagPr>
                <w:attr w:name="ProductID" w:val="102 cm"/>
              </w:smartTagPr>
              <w:r w:rsidRPr="0074453D">
                <w:rPr>
                  <w:rFonts w:cs="Calibri"/>
                  <w:sz w:val="20"/>
                  <w:szCs w:val="20"/>
                </w:rPr>
                <w:t>102 cm</w:t>
              </w:r>
            </w:smartTag>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&lt;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1 pkt</w:t>
            </w:r>
          </w:p>
          <w:p w:rsidR="00775552" w:rsidRPr="0074453D" w:rsidRDefault="00775552" w:rsidP="00C43122">
            <w:pPr>
              <w:jc w:val="center"/>
              <w:rPr>
                <w:rFonts w:cs="Calibri"/>
                <w:sz w:val="20"/>
                <w:szCs w:val="20"/>
              </w:rPr>
            </w:pPr>
            <w:r w:rsidRPr="0074453D">
              <w:rPr>
                <w:rFonts w:cs="Calibri"/>
                <w:sz w:val="20"/>
                <w:szCs w:val="20"/>
              </w:rPr>
              <w:t xml:space="preserve">Wartość  </w:t>
            </w:r>
            <w:r w:rsidRPr="0074453D">
              <w:rPr>
                <w:rFonts w:cs="Calibri"/>
                <w:sz w:val="20"/>
                <w:szCs w:val="20"/>
              </w:rPr>
              <w:sym w:font="Symbol" w:char="F0B3"/>
            </w:r>
            <w:r w:rsidRPr="0074453D">
              <w:rPr>
                <w:rFonts w:cs="Calibri"/>
                <w:sz w:val="20"/>
                <w:szCs w:val="20"/>
              </w:rPr>
              <w:t xml:space="preserve">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Wybór napięć lampy RTG co najmniej w zakresie od 80 kV do 130 kV</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(mA)</w:t>
            </w:r>
            <w:r>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Najkrótszy czas obrotu układu lampa rtg-detektor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czas trwania ciągłego skanu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58"/>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Długość skanu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Długość spiralnego skanu ciągłego CT ≥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1 pkt, </w:t>
            </w:r>
          </w:p>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&lt;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0 pkt</w:t>
            </w:r>
          </w:p>
        </w:tc>
      </w:tr>
      <w:tr w:rsidR="00775552" w:rsidRPr="0074453D" w:rsidTr="00C43122">
        <w:trPr>
          <w:trHeight w:val="91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Długość skanu przeglądowego (topogram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pStyle w:val="H-TextFormat"/>
              <w:contextualSpacing/>
              <w:jc w:val="center"/>
              <w:rPr>
                <w:rFonts w:ascii="Calibri" w:hAnsi="Calibri" w:cs="Calibri"/>
                <w:sz w:val="20"/>
                <w:szCs w:val="20"/>
                <w:lang w:val="pl-PL"/>
              </w:rPr>
            </w:pPr>
            <w:r w:rsidRPr="0074453D">
              <w:rPr>
                <w:rFonts w:ascii="Calibri" w:hAnsi="Calibri" w:cs="Calibri"/>
                <w:sz w:val="20"/>
                <w:szCs w:val="20"/>
                <w:lang w:val="pl-PL"/>
              </w:rPr>
              <w:t xml:space="preserve">Długość topogramu wykorzystywanego do modulacji dawki CT  ≥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1 pkt,</w:t>
            </w:r>
          </w:p>
          <w:p w:rsidR="00775552" w:rsidRPr="0074453D" w:rsidRDefault="00775552" w:rsidP="00C43122">
            <w:pPr>
              <w:pStyle w:val="H-TextFormat"/>
              <w:contextualSpacing/>
              <w:jc w:val="center"/>
              <w:rPr>
                <w:rFonts w:ascii="Calibri" w:hAnsi="Calibri" w:cs="Calibri"/>
                <w:sz w:val="20"/>
                <w:szCs w:val="20"/>
              </w:rPr>
            </w:pPr>
            <w:r w:rsidRPr="0074453D">
              <w:rPr>
                <w:rFonts w:ascii="Calibri" w:hAnsi="Calibri" w:cs="Calibri"/>
                <w:sz w:val="20"/>
                <w:szCs w:val="20"/>
                <w:lang w:val="pl-PL"/>
              </w:rPr>
              <w:t xml:space="preserve">&lt;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Szerokość skanu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zmienności pitch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[lp/cm]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niskokontrastowa, mierzona dla fantomu CATHPAN o średnicy </w:t>
            </w:r>
            <w:smartTag w:uri="urn:schemas-microsoft-com:office:smarttags" w:element="metricconverter">
              <w:smartTagPr>
                <w:attr w:name="ProductID" w:val="20 cm"/>
              </w:smartTagPr>
              <w:r w:rsidRPr="0074453D">
                <w:rPr>
                  <w:rFonts w:cs="Calibri"/>
                  <w:sz w:val="20"/>
                  <w:szCs w:val="20"/>
                </w:rPr>
                <w:t>20 cm</w:t>
              </w:r>
            </w:smartTag>
            <w:r w:rsidRPr="0074453D">
              <w:rPr>
                <w:rFonts w:cs="Calibri"/>
                <w:sz w:val="20"/>
                <w:szCs w:val="20"/>
              </w:rPr>
              <w:t xml:space="preserve">, przy warstwie </w:t>
            </w:r>
            <w:smartTag w:uri="urn:schemas-microsoft-com:office:smarttags" w:element="metricconverter">
              <w:smartTagPr>
                <w:attr w:name="ProductID" w:val="10 mm"/>
              </w:smartTagPr>
              <w:r w:rsidRPr="0074453D">
                <w:rPr>
                  <w:rFonts w:cs="Calibri"/>
                  <w:sz w:val="20"/>
                  <w:szCs w:val="20"/>
                </w:rPr>
                <w:t>10 mm</w:t>
              </w:r>
            </w:smartTag>
            <w:r w:rsidRPr="0074453D">
              <w:rPr>
                <w:rFonts w:cs="Calibri"/>
                <w:sz w:val="20"/>
                <w:szCs w:val="20"/>
              </w:rPr>
              <w:t xml:space="preserve">, dla różnicy kontrastu 3 HU, napięcia z zakresu 130-140 kV, mierzona w polu akwizycyjnym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 xml:space="preserve">u CT min.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xml:space="preserve">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74453D">
                <w:rPr>
                  <w:rFonts w:cs="Calibri"/>
                  <w:sz w:val="20"/>
                  <w:szCs w:val="20"/>
                </w:rPr>
                <w:t>70 cm</w:t>
              </w:r>
            </w:smartTag>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00E80B55" w:rsidRPr="00071086">
              <w:rPr>
                <w:rFonts w:cs="Calibri"/>
                <w:strike/>
                <w:sz w:val="20"/>
                <w:szCs w:val="20"/>
                <w:highlight w:val="green"/>
              </w:rPr>
              <w:t>/ NIE</w:t>
            </w:r>
            <w:r w:rsidR="00E80B55">
              <w:rPr>
                <w:rFonts w:cs="Calibri"/>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Osiowe pole widzenia skanu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955E5" w:rsidRDefault="00775552" w:rsidP="00C43122">
            <w:pPr>
              <w:jc w:val="center"/>
              <w:rPr>
                <w:rFonts w:cs="Calibri"/>
                <w:strike/>
                <w:sz w:val="20"/>
                <w:szCs w:val="20"/>
                <w:highlight w:val="green"/>
              </w:rPr>
            </w:pPr>
            <w:r w:rsidRPr="007955E5">
              <w:rPr>
                <w:rFonts w:cs="Calibri"/>
                <w:strike/>
                <w:sz w:val="20"/>
                <w:szCs w:val="20"/>
                <w:highlight w:val="green"/>
              </w:rPr>
              <w:t>Wartość największa – 10 pkt</w:t>
            </w:r>
          </w:p>
          <w:p w:rsidR="00775552" w:rsidRPr="007955E5" w:rsidRDefault="00775552" w:rsidP="00C43122">
            <w:pPr>
              <w:jc w:val="center"/>
              <w:rPr>
                <w:rFonts w:cs="Calibri"/>
                <w:strike/>
                <w:sz w:val="20"/>
                <w:szCs w:val="20"/>
                <w:highlight w:val="green"/>
              </w:rPr>
            </w:pPr>
            <w:r w:rsidRPr="007955E5">
              <w:rPr>
                <w:rFonts w:cs="Calibri"/>
                <w:strike/>
                <w:sz w:val="20"/>
                <w:szCs w:val="20"/>
                <w:highlight w:val="green"/>
              </w:rPr>
              <w:t>Pozostałe – 0 pkt</w:t>
            </w:r>
          </w:p>
          <w:p w:rsidR="00775552" w:rsidRDefault="00775552" w:rsidP="00C43122">
            <w:pPr>
              <w:jc w:val="center"/>
              <w:rPr>
                <w:rFonts w:cs="Calibri"/>
                <w:strike/>
                <w:sz w:val="20"/>
                <w:szCs w:val="20"/>
              </w:rPr>
            </w:pPr>
            <w:r w:rsidRPr="007955E5">
              <w:rPr>
                <w:rFonts w:cs="Calibri"/>
                <w:strike/>
                <w:sz w:val="20"/>
                <w:szCs w:val="20"/>
                <w:highlight w:val="green"/>
              </w:rPr>
              <w:t>Bez punktacji</w:t>
            </w:r>
          </w:p>
          <w:p w:rsidR="007955E5" w:rsidRPr="007955E5" w:rsidRDefault="007955E5" w:rsidP="007955E5">
            <w:pPr>
              <w:jc w:val="center"/>
              <w:rPr>
                <w:rFonts w:cs="Calibri"/>
                <w:sz w:val="20"/>
                <w:szCs w:val="20"/>
                <w:highlight w:val="yellow"/>
              </w:rPr>
            </w:pPr>
            <w:r>
              <w:rPr>
                <w:rFonts w:cs="Calibri"/>
                <w:sz w:val="20"/>
                <w:szCs w:val="20"/>
                <w:highlight w:val="yellow"/>
              </w:rPr>
              <w:t>Wartość największa – 1</w:t>
            </w:r>
            <w:r w:rsidRPr="007955E5">
              <w:rPr>
                <w:rFonts w:cs="Calibri"/>
                <w:sz w:val="20"/>
                <w:szCs w:val="20"/>
                <w:highlight w:val="yellow"/>
              </w:rPr>
              <w:t xml:space="preserve"> pkt</w:t>
            </w:r>
          </w:p>
          <w:p w:rsidR="007955E5" w:rsidRPr="007955E5" w:rsidRDefault="007955E5" w:rsidP="007955E5">
            <w:pPr>
              <w:jc w:val="center"/>
              <w:rPr>
                <w:rFonts w:cs="Calibri"/>
                <w:sz w:val="20"/>
                <w:szCs w:val="20"/>
                <w:highlight w:val="green"/>
              </w:rPr>
            </w:pPr>
            <w:r w:rsidRPr="007955E5">
              <w:rPr>
                <w:rFonts w:cs="Calibri"/>
                <w:sz w:val="20"/>
                <w:szCs w:val="20"/>
                <w:highlight w:val="yellow"/>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przekroju uzyskanego ze skanu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C43122">
            <w:pPr>
              <w:jc w:val="center"/>
              <w:rPr>
                <w:rFonts w:cs="Calibri"/>
                <w:sz w:val="20"/>
                <w:szCs w:val="20"/>
              </w:rPr>
            </w:pPr>
            <w:r>
              <w:rPr>
                <w:rFonts w:cs="Calibri"/>
                <w:sz w:val="20"/>
                <w:szCs w:val="20"/>
              </w:rPr>
              <w:t xml:space="preserve">Wartość najmniejsza – </w:t>
            </w:r>
            <w:r w:rsidRPr="00071086">
              <w:rPr>
                <w:rFonts w:cs="Calibri"/>
                <w:sz w:val="20"/>
                <w:szCs w:val="20"/>
                <w:highlight w:val="green"/>
              </w:rPr>
              <w:t>1</w:t>
            </w:r>
            <w:r w:rsidR="00775552" w:rsidRPr="00071086">
              <w:rPr>
                <w:rFonts w:cs="Calibri"/>
                <w:sz w:val="20"/>
                <w:szCs w:val="20"/>
                <w:highlight w:val="green"/>
              </w:rPr>
              <w:t xml:space="preserve"> pkt</w:t>
            </w:r>
          </w:p>
          <w:p w:rsidR="00775552" w:rsidRPr="0074453D" w:rsidRDefault="00775552" w:rsidP="006741DD">
            <w:pPr>
              <w:jc w:val="center"/>
              <w:rPr>
                <w:rFonts w:cs="Calibri"/>
                <w:sz w:val="20"/>
                <w:szCs w:val="20"/>
              </w:rPr>
            </w:pPr>
            <w:r w:rsidRPr="006741DD">
              <w:rPr>
                <w:rFonts w:cs="Calibri"/>
                <w:sz w:val="20"/>
                <w:szCs w:val="20"/>
              </w:rPr>
              <w:t>Pozost</w:t>
            </w:r>
            <w:r w:rsidR="006741DD">
              <w:rPr>
                <w:rFonts w:cs="Calibri"/>
                <w:sz w:val="20"/>
                <w:szCs w:val="20"/>
              </w:rPr>
              <w: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10618">
            <w:pPr>
              <w:rPr>
                <w:rFonts w:cs="Calibri"/>
                <w:sz w:val="20"/>
                <w:szCs w:val="20"/>
              </w:rPr>
            </w:pPr>
            <w:r w:rsidRPr="0074453D">
              <w:rPr>
                <w:rFonts w:cs="Calibri"/>
                <w:sz w:val="20"/>
                <w:szCs w:val="20"/>
              </w:rPr>
              <w:t xml:space="preserve">Algorytm iteracyjny służący do usuwania na obrazach TK artefaktów pochodzenia odmetalowego – od endoprotez i implantów, służący jednocześnie do korekcji pochłaniania. Podać nazwę licencji/oprogramowania algorytmu na skanerze do usuwania artefaktów i do AC.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1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przeprowadzania wielokrotnych rekonstrukcji obrazu i reformatowania -  równolegle do skanowania. Możliwość wprowadzenia do protokołu skanowania wczytania do min. 8 zadań 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wyposażony w dwie głowice</w:t>
            </w:r>
          </w:p>
          <w:p w:rsidR="00775552" w:rsidRPr="0074453D" w:rsidRDefault="00775552" w:rsidP="005629EB">
            <w:pPr>
              <w:rPr>
                <w:rFonts w:cs="Calibri"/>
                <w:sz w:val="20"/>
                <w:szCs w:val="20"/>
              </w:rPr>
            </w:pPr>
            <w:r w:rsidRPr="0074453D">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775552" w:rsidRPr="0074453D" w:rsidRDefault="00775552" w:rsidP="005629EB">
            <w:pPr>
              <w:rPr>
                <w:rFonts w:cs="Calibri"/>
                <w:sz w:val="20"/>
                <w:szCs w:val="20"/>
              </w:rPr>
            </w:pPr>
            <w:r w:rsidRPr="0074453D">
              <w:rPr>
                <w:rFonts w:cs="Calibri"/>
                <w:sz w:val="20"/>
                <w:szCs w:val="20"/>
              </w:rPr>
              <w:t xml:space="preserve">lub w technologii detektora bezpośredniej konwersji promieniowania gamma (CZT, CdZnTe) na sygnał elektryczny pozwalająca na wykonywanie badań diagnostycznych: planarnych statycznych, planarnych bramkowanych, planarnych dynamicznych, planarnych </w:t>
            </w:r>
            <w:r w:rsidRPr="0074453D">
              <w:rPr>
                <w:rFonts w:cs="Calibri"/>
                <w:sz w:val="20"/>
                <w:szCs w:val="20"/>
              </w:rPr>
              <w:lastRenderedPageBreak/>
              <w:t>techniką całego ciała, SPECT, bramkowanych SPECT,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Gamma kamera z technologią bezpośredniej konwersji (CZT) (1 szt) = </w:t>
            </w:r>
            <w:r w:rsidRPr="007955E5">
              <w:rPr>
                <w:rFonts w:cs="Calibri"/>
                <w:strike/>
                <w:sz w:val="20"/>
                <w:szCs w:val="20"/>
                <w:highlight w:val="green"/>
              </w:rPr>
              <w:t>100 150 pkt.</w:t>
            </w:r>
            <w:r w:rsidR="007955E5" w:rsidRPr="007955E5">
              <w:rPr>
                <w:rFonts w:cs="Calibri"/>
                <w:sz w:val="20"/>
                <w:szCs w:val="20"/>
              </w:rPr>
              <w:t xml:space="preserve"> </w:t>
            </w:r>
            <w:r w:rsidR="007955E5" w:rsidRPr="007955E5">
              <w:rPr>
                <w:rFonts w:cs="Calibri"/>
                <w:sz w:val="20"/>
                <w:szCs w:val="20"/>
                <w:highlight w:val="yellow"/>
              </w:rPr>
              <w:t>200 pkt</w:t>
            </w:r>
          </w:p>
          <w:p w:rsidR="00775552" w:rsidRPr="0074453D" w:rsidRDefault="00775552" w:rsidP="00C43122">
            <w:pPr>
              <w:jc w:val="center"/>
              <w:rPr>
                <w:rFonts w:cs="Calibri"/>
                <w:sz w:val="20"/>
                <w:szCs w:val="20"/>
              </w:rPr>
            </w:pPr>
            <w:r w:rsidRPr="0074453D">
              <w:rPr>
                <w:rFonts w:cs="Calibri"/>
                <w:sz w:val="20"/>
                <w:szCs w:val="20"/>
              </w:rPr>
              <w:t>Gammakamery oparte na fotopowielaczach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 przypadku klasycznej metody – kryształy scyntylacyjne gammakamery o grubości 3/8 cala; minimalna liczba fotopowielaczy w każdym z detektorów 59.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Grubość materiału CZT minimum 5 mm </w:t>
            </w:r>
            <w:r w:rsidRPr="00071086">
              <w:rPr>
                <w:rFonts w:cs="Calibri"/>
                <w:sz w:val="20"/>
                <w:szCs w:val="20"/>
                <w:highlight w:val="green"/>
              </w:rPr>
              <w:t>(dotyczy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Zmienna geometria detektorów – sterowana automatycznie - do badań kardiologicznych oraz badań pacjenta na łóżku szpitalnym (wymagane jest ustawienie, w którym obie głowice znajdują się w jednej płaszczyźnie i umożliwiają jednoczesne obrazowanie nad ciałem pacjenta leżącego na standardowym łóżku szpitalnym) oraz obrazowanie w pozycjach: siedzącej, stojącej (min. 0º, 90º, 180º)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pochylenia przynajmniej jednego detektora gamma kamery wzdłuż osi łóżka (określane jako: caudal tilt lub cephalic tilt), realizacja dla pacjenta ułożonego na stole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Jeden monitor podglądu dostępny z obu stron gantry (bez konieczności demontażu) na rotującym długim wysięgniku,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gantry,</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74453D">
              <w:rPr>
                <w:rFonts w:ascii="Calibri" w:hAnsi="Calibri" w:cs="Calibri"/>
                <w:lang w:eastAsia="en-US"/>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Uptake Value). Kalibracja za pomocą źródeł </w:t>
            </w:r>
            <w:r w:rsidRPr="0074453D">
              <w:rPr>
                <w:rFonts w:cs="Calibri"/>
                <w:sz w:val="20"/>
                <w:szCs w:val="20"/>
                <w:lang w:eastAsia="pl-PL"/>
              </w:rPr>
              <w:lastRenderedPageBreak/>
              <w:t>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Możliwość prezentacja parametrów ilościowych w badaniach SPECT/CT w postaci SUV (Standard Uptake Value).</w:t>
            </w:r>
            <w:r w:rsidRPr="0074453D">
              <w:rPr>
                <w:rFonts w:cs="Calibri"/>
                <w:sz w:val="20"/>
                <w:szCs w:val="20"/>
                <w:lang w:eastAsia="pl-PL"/>
              </w:rPr>
              <w:t xml:space="preserve"> Kalibracja za pomocą zamkniętych źródeł NIST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r>
              <w:rPr>
                <w:rFonts w:cs="Calibri"/>
                <w:sz w:val="20"/>
                <w:szCs w:val="20"/>
                <w:lang w:eastAsia="pl-PL"/>
              </w:rPr>
              <w:t xml:space="preserve">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 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Akwizycja obrazów SPECT/CT dla martycy SPECT 256x256 wraz z dedykowaną rekonstrukcją tych danych.</w:t>
            </w:r>
          </w:p>
          <w:p w:rsidR="00775552" w:rsidRPr="0036534D" w:rsidRDefault="00775552" w:rsidP="00BD4766">
            <w:pPr>
              <w:rPr>
                <w:rFonts w:cs="Calibri"/>
                <w:sz w:val="20"/>
                <w:szCs w:val="20"/>
                <w:highlight w:val="green"/>
              </w:rPr>
            </w:pPr>
            <w:r w:rsidRPr="0036534D">
              <w:rPr>
                <w:rFonts w:cs="Calibri"/>
                <w:sz w:val="20"/>
                <w:szCs w:val="20"/>
                <w:highlight w:val="green"/>
              </w:rPr>
              <w:t>Akwizycja obrazów SPECT/CT dla martycy SPECT 256x256 wraz z dedykowaną dla SPECT rekonstrukcją wykorzystuj</w:t>
            </w:r>
            <w:r w:rsidR="0036534D" w:rsidRPr="0036534D">
              <w:rPr>
                <w:rFonts w:cs="Calibri"/>
                <w:sz w:val="20"/>
                <w:szCs w:val="20"/>
                <w:highlight w:val="green"/>
              </w:rPr>
              <w:t xml:space="preserve">ącą do poprawy jakości obrazów </w:t>
            </w:r>
            <w:r w:rsidRPr="0036534D">
              <w:rPr>
                <w:rFonts w:cs="Calibri"/>
                <w:sz w:val="20"/>
                <w:szCs w:val="20"/>
                <w:highlight w:val="green"/>
              </w:rPr>
              <w:t xml:space="preserve">dane surowe (raw data) ze skanu CT po ich sklasyfikowaniu do 5 klas na bazie jednostek HU.  </w:t>
            </w:r>
          </w:p>
          <w:p w:rsidR="00775552" w:rsidRPr="00BD4766" w:rsidRDefault="00775552" w:rsidP="00BD4766">
            <w:pPr>
              <w:rPr>
                <w:rFonts w:cs="Calibri"/>
                <w:sz w:val="20"/>
                <w:szCs w:val="20"/>
                <w:highlight w:val="cyan"/>
              </w:rPr>
            </w:pPr>
            <w:r w:rsidRPr="0036534D">
              <w:rPr>
                <w:rFonts w:cs="Calibri"/>
                <w:sz w:val="20"/>
                <w:szCs w:val="20"/>
                <w:highlight w:val="green"/>
              </w:rPr>
              <w:t>Niezbędny sprzęt komputerowy umożliwiający wydajnie przeprowadzenie w/w rekonstrukcji.</w:t>
            </w:r>
          </w:p>
          <w:p w:rsidR="00775552" w:rsidRPr="00A521DF" w:rsidRDefault="00775552" w:rsidP="00BD4766">
            <w:pPr>
              <w:rPr>
                <w:rFonts w:cs="Calibri"/>
                <w:sz w:val="20"/>
                <w:szCs w:val="20"/>
                <w:highlight w:val="cyan"/>
              </w:rPr>
            </w:pPr>
            <w:r w:rsidRPr="00E01790">
              <w:rPr>
                <w:rFonts w:cs="Calibri"/>
                <w:sz w:val="20"/>
                <w:szCs w:val="20"/>
                <w:highlight w:val="green"/>
              </w:rPr>
              <w:t>Podać nazwę licencji (narzędzia) pr</w:t>
            </w:r>
            <w:r w:rsidR="00A521DF">
              <w:rPr>
                <w:rFonts w:cs="Calibri"/>
                <w:sz w:val="20"/>
                <w:szCs w:val="20"/>
                <w:highlight w:val="green"/>
              </w:rPr>
              <w:t>oducenta systemu.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36534D" w:rsidRPr="0036534D">
              <w:rPr>
                <w:rFonts w:cs="Calibri"/>
                <w:strike/>
                <w:sz w:val="20"/>
                <w:szCs w:val="20"/>
                <w:highlight w:val="green"/>
              </w:rPr>
              <w:t>5</w:t>
            </w:r>
            <w:r w:rsidR="0036534D" w:rsidRPr="0036534D">
              <w:rPr>
                <w:rFonts w:cs="Calibri"/>
                <w:sz w:val="20"/>
                <w:szCs w:val="20"/>
                <w:highlight w:val="green"/>
              </w:rPr>
              <w:t xml:space="preserve"> </w:t>
            </w:r>
            <w:r w:rsidRPr="0036534D">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akwizycji danych niezbędnych do korekcji rozproszenia (scatter correction) min. dal 99mTc,131I, 123I, 111In, 67Ga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Możliwości założenia na detektory i przeprowadzania prawidłowej akwizycji na kolimatorach minimum: niskoenergetycznych wysokorozdzielczych, średnioenergetycznych, wysokoenergetycznych, typu pinhole,</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Wymiary pola widzenia detektora [FOV]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51 x </w:t>
            </w:r>
            <w:r w:rsidRPr="00071086">
              <w:rPr>
                <w:rFonts w:cs="Calibri"/>
                <w:strike/>
                <w:sz w:val="20"/>
                <w:szCs w:val="20"/>
                <w:highlight w:val="green"/>
              </w:rPr>
              <w:t>39</w:t>
            </w:r>
            <w:r w:rsidRPr="00071086">
              <w:rPr>
                <w:rFonts w:cs="Calibri"/>
                <w:sz w:val="20"/>
                <w:szCs w:val="20"/>
                <w:highlight w:val="green"/>
              </w:rPr>
              <w:t xml:space="preserve"> 38,7,</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96"/>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dostępnych energii (keV)</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Gammakamera klasyczna:    </w:t>
            </w:r>
            <w:r w:rsidRPr="0074453D">
              <w:rPr>
                <w:rFonts w:cs="Calibri"/>
                <w:sz w:val="20"/>
                <w:szCs w:val="20"/>
              </w:rPr>
              <w:sym w:font="Symbol" w:char="F0B3"/>
            </w:r>
            <w:r w:rsidRPr="0074453D">
              <w:rPr>
                <w:rFonts w:cs="Calibri"/>
                <w:sz w:val="20"/>
                <w:szCs w:val="20"/>
              </w:rPr>
              <w:t xml:space="preserve"> 40 - 600, podać</w:t>
            </w:r>
          </w:p>
          <w:p w:rsidR="00775552" w:rsidRPr="0074453D" w:rsidRDefault="00775552" w:rsidP="00C43122">
            <w:pPr>
              <w:jc w:val="center"/>
              <w:rPr>
                <w:rFonts w:cs="Calibri"/>
                <w:sz w:val="20"/>
                <w:szCs w:val="20"/>
              </w:rPr>
            </w:pPr>
            <w:r w:rsidRPr="0074453D">
              <w:rPr>
                <w:rFonts w:cs="Calibri"/>
                <w:sz w:val="20"/>
                <w:szCs w:val="20"/>
              </w:rPr>
              <w:t xml:space="preserve">Gammakamera CZT:             </w:t>
            </w:r>
            <w:r w:rsidRPr="0074453D">
              <w:rPr>
                <w:rFonts w:cs="Calibri"/>
                <w:sz w:val="20"/>
                <w:szCs w:val="20"/>
              </w:rPr>
              <w:sym w:font="Symbol" w:char="F0B3"/>
            </w:r>
            <w:r w:rsidRPr="0074453D">
              <w:rPr>
                <w:rFonts w:cs="Calibri"/>
                <w:sz w:val="20"/>
                <w:szCs w:val="20"/>
              </w:rPr>
              <w:t xml:space="preserve"> 40 - 170,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8E237B">
            <w:pPr>
              <w:pStyle w:val="Akapitzlist"/>
              <w:numPr>
                <w:ilvl w:val="0"/>
                <w:numId w:val="17"/>
              </w:numPr>
              <w:tabs>
                <w:tab w:val="center" w:pos="789"/>
                <w:tab w:val="left" w:pos="8455"/>
              </w:tabs>
              <w:ind w:hanging="720"/>
              <w:rPr>
                <w:rFonts w:cs="Calibri"/>
                <w:b/>
                <w:sz w:val="20"/>
                <w:szCs w:val="20"/>
              </w:rPr>
            </w:pPr>
            <w:r w:rsidRPr="0074453D">
              <w:rPr>
                <w:rFonts w:cs="Calibri"/>
                <w:b/>
                <w:sz w:val="20"/>
                <w:szCs w:val="20"/>
              </w:rPr>
              <w:t>Parametry detektorów w przypadku technologii kamery CZT</w:t>
            </w:r>
          </w:p>
        </w:tc>
      </w:tr>
      <w:tr w:rsidR="00775552" w:rsidRPr="0074453D" w:rsidTr="00C43122">
        <w:tc>
          <w:tcPr>
            <w:tcW w:w="15026" w:type="dxa"/>
            <w:gridSpan w:val="5"/>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Wewnętrzna jednorodność</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Różniczkowa,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2,3,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Całkowa,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3,6,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energetyczna  [%] umożliwiająca badania dwu i wieloizotopowe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przestrzenna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Parametry detektorów w przypadku technologii gammakamery kamery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rPr>
              <w:t>FWHM (UFOV</w:t>
            </w:r>
            <w:r w:rsidRPr="0074453D">
              <w:rPr>
                <w:rFonts w:cs="Calibri"/>
                <w:sz w:val="20"/>
                <w:szCs w:val="20"/>
                <w:lang w:val="en-US"/>
              </w:rPr>
              <w:t>)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r w:rsidRPr="0074453D">
              <w:rPr>
                <w:rFonts w:cs="Calibri"/>
                <w:sz w:val="20"/>
                <w:szCs w:val="20"/>
                <w:lang w:val="en-US"/>
              </w:rPr>
              <w:t>różniczkowa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(„Intrinsic Spatial Linearity”):</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energetyczna zdolność rozdzielcza</w:t>
            </w:r>
          </w:p>
          <w:p w:rsidR="00775552" w:rsidRPr="0074453D" w:rsidRDefault="00775552" w:rsidP="005629EB">
            <w:pPr>
              <w:rPr>
                <w:rFonts w:cs="Calibri"/>
                <w:sz w:val="20"/>
                <w:szCs w:val="20"/>
              </w:rPr>
            </w:pPr>
            <w:r w:rsidRPr="0074453D">
              <w:rPr>
                <w:rFonts w:cs="Calibri"/>
                <w:sz w:val="20"/>
                <w:szCs w:val="20"/>
              </w:rPr>
              <w:t>wg standardu NEMA: ≤ 10 %.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Rozdzielczość przestrzenna SPECT po rekonstrukcji iteracyjnej (np. Evolution for Bone, Flash3D, itp.) z rozproszeniem (kolimatory LEHR):</w:t>
            </w:r>
          </w:p>
          <w:p w:rsidR="00775552" w:rsidRPr="0074453D" w:rsidRDefault="00775552" w:rsidP="00C43122">
            <w:pPr>
              <w:ind w:left="397" w:hanging="170"/>
              <w:contextualSpacing/>
              <w:rPr>
                <w:rFonts w:cs="Calibri"/>
                <w:sz w:val="20"/>
                <w:szCs w:val="20"/>
              </w:rPr>
            </w:pPr>
            <w:r w:rsidRPr="0074453D">
              <w:rPr>
                <w:rFonts w:cs="Calibri"/>
                <w:sz w:val="20"/>
                <w:szCs w:val="20"/>
              </w:rPr>
              <w:t>centralna ≤ 6,5 mm,</w:t>
            </w:r>
          </w:p>
          <w:p w:rsidR="00775552" w:rsidRPr="0074453D" w:rsidRDefault="00775552" w:rsidP="00C43122">
            <w:pPr>
              <w:ind w:left="397" w:hanging="170"/>
              <w:contextualSpacing/>
              <w:rPr>
                <w:rFonts w:cs="Calibri"/>
                <w:sz w:val="20"/>
                <w:szCs w:val="20"/>
              </w:rPr>
            </w:pPr>
            <w:r w:rsidRPr="0074453D">
              <w:rPr>
                <w:rFonts w:cs="Calibri"/>
                <w:sz w:val="20"/>
                <w:szCs w:val="20"/>
              </w:rPr>
              <w:t>promieniowa ≤ 5,8 mm,</w:t>
            </w:r>
          </w:p>
          <w:p w:rsidR="00775552" w:rsidRPr="0074453D" w:rsidRDefault="00775552" w:rsidP="005629EB">
            <w:pPr>
              <w:rPr>
                <w:rFonts w:cs="Calibri"/>
                <w:sz w:val="20"/>
                <w:szCs w:val="20"/>
              </w:rPr>
            </w:pPr>
            <w:r w:rsidRPr="0074453D">
              <w:rPr>
                <w:rFonts w:cs="Calibri"/>
                <w:sz w:val="20"/>
                <w:szCs w:val="20"/>
              </w:rPr>
              <w:t>styczna ≤  5,2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nazwę oprogramowania i wartości w mm</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Kolimatory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Kolimacja promieniowania (sposób rejestracji kolimatorów z matrycą detektora CZT) – dotyczy tylko technologii CZT</w:t>
            </w:r>
          </w:p>
        </w:tc>
        <w:tc>
          <w:tcPr>
            <w:tcW w:w="1975" w:type="dxa"/>
            <w:vAlign w:val="center"/>
          </w:tcPr>
          <w:p w:rsidR="00775552" w:rsidRPr="0074453D" w:rsidRDefault="00775552" w:rsidP="00C43122">
            <w:pPr>
              <w:jc w:val="center"/>
              <w:rPr>
                <w:rFonts w:cs="Calibri"/>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Zabezpieczenia pacjenta przed zetknięciem się z elementami konstrukcyjnymi podczas wzajemnego ruchu (czujniki kolizji, sposób zabezpieczenia)</w:t>
            </w:r>
          </w:p>
        </w:tc>
        <w:tc>
          <w:tcPr>
            <w:tcW w:w="1975" w:type="dxa"/>
            <w:vAlign w:val="center"/>
          </w:tcPr>
          <w:p w:rsidR="00775552" w:rsidRPr="0074453D" w:rsidRDefault="00775552" w:rsidP="00C43122">
            <w:pPr>
              <w:jc w:val="center"/>
              <w:rPr>
                <w:rFonts w:cs="Calibri"/>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Kolimatory szerokiego zakresu energii wysokiej rozdzielczości (para) – 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66014" w:rsidRDefault="00775552" w:rsidP="005629EB">
            <w:pPr>
              <w:rPr>
                <w:rFonts w:cs="Calibri"/>
                <w:sz w:val="20"/>
                <w:szCs w:val="20"/>
                <w:lang w:eastAsia="pl-PL"/>
              </w:rPr>
            </w:pPr>
            <w:r w:rsidRPr="00666014">
              <w:rPr>
                <w:rFonts w:cs="Calibri"/>
                <w:sz w:val="20"/>
                <w:szCs w:val="20"/>
              </w:rPr>
              <w:t>Kolimatory  niskoenergetyczne, wysokiej rozdzielczości do np. 99mTc, typu: LEHR/LEHRS lub równoważne zgodnie z nomenklatura producenta (podać właściwą nazwę)  o czułości systemowej &gt; 200  cpm/µCi @ 10 cm (pomiary wg standardów NEMA z max.tolerancji  10%)  z minimalną rozdzielczością systemową przy 10cm ≤7,5 mm) - 2 szt. (po jednej sztuce do każdego z</w:t>
            </w:r>
            <w:r w:rsidRPr="00666014">
              <w:rPr>
                <w:rFonts w:cs="Calibri"/>
                <w:sz w:val="20"/>
                <w:szCs w:val="20"/>
                <w:lang w:eastAsia="pl-PL"/>
              </w:rPr>
              <w:t xml:space="preserve"> detektorów)</w:t>
            </w:r>
          </w:p>
          <w:p w:rsidR="00775552" w:rsidRPr="00666014" w:rsidRDefault="00775552" w:rsidP="005629EB">
            <w:pPr>
              <w:rPr>
                <w:rFonts w:cs="Calibri"/>
                <w:sz w:val="20"/>
                <w:szCs w:val="20"/>
              </w:rPr>
            </w:pPr>
            <w:r w:rsidRPr="00666014">
              <w:rPr>
                <w:rFonts w:cs="Calibri"/>
                <w:sz w:val="20"/>
                <w:szCs w:val="20"/>
                <w:lang w:eastAsia="pl-PL"/>
              </w:rPr>
              <w:t xml:space="preserve">(dotyczy tylko </w:t>
            </w:r>
            <w:r w:rsidRPr="00666014">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nazwę własną, wartość czułości i rozdzielczości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Kolimatory średnioenergetyczne do np. 111In o czułości systemowej  &gt; 140cpm/µCi @ 10 cm (pomiary wg standardów NEMA z max.tolerancji  4%)</w:t>
            </w:r>
          </w:p>
          <w:p w:rsidR="00775552" w:rsidRPr="0074453D" w:rsidRDefault="00775552" w:rsidP="005629EB">
            <w:pPr>
              <w:rPr>
                <w:rFonts w:cs="Calibri"/>
                <w:sz w:val="20"/>
                <w:szCs w:val="20"/>
                <w:lang w:eastAsia="pl-PL"/>
              </w:rPr>
            </w:pPr>
            <w:r w:rsidRPr="0074453D">
              <w:rPr>
                <w:rFonts w:cs="Calibri"/>
                <w:sz w:val="20"/>
                <w:szCs w:val="20"/>
              </w:rPr>
              <w:t>- 2 szt. (po jednej sztuce do każdego z</w:t>
            </w:r>
            <w:r w:rsidRPr="0074453D">
              <w:rPr>
                <w:rFonts w:cs="Calibri"/>
                <w:sz w:val="20"/>
                <w:szCs w:val="20"/>
                <w:lang w:eastAsia="pl-PL"/>
              </w:rPr>
              <w:t xml:space="preserve"> detektorów)</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(w tym podać nazwę własną)</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czułości systemowej &gt; 250 cpm/µCi @ 10 cm</w:t>
            </w:r>
          </w:p>
          <w:p w:rsidR="00775552" w:rsidRPr="0074453D" w:rsidRDefault="00775552" w:rsidP="00C43122">
            <w:pPr>
              <w:jc w:val="center"/>
              <w:rPr>
                <w:rFonts w:cs="Calibri"/>
                <w:sz w:val="20"/>
                <w:szCs w:val="20"/>
              </w:rPr>
            </w:pPr>
            <w:r w:rsidRPr="0074453D">
              <w:rPr>
                <w:rFonts w:cs="Calibri"/>
                <w:sz w:val="20"/>
                <w:szCs w:val="20"/>
              </w:rPr>
              <w:t>= 2 pkt</w:t>
            </w:r>
          </w:p>
          <w:p w:rsidR="00775552" w:rsidRPr="0074453D" w:rsidRDefault="00775552" w:rsidP="00C43122">
            <w:pPr>
              <w:jc w:val="center"/>
              <w:rPr>
                <w:rFonts w:cs="Calibri"/>
                <w:sz w:val="20"/>
                <w:szCs w:val="20"/>
              </w:rPr>
            </w:pPr>
            <w:r w:rsidRPr="0074453D">
              <w:rPr>
                <w:rFonts w:cs="Calibri"/>
                <w:sz w:val="20"/>
                <w:szCs w:val="20"/>
              </w:rPr>
              <w:t>Wartość</w:t>
            </w:r>
          </w:p>
          <w:p w:rsidR="00775552" w:rsidRPr="0074453D" w:rsidRDefault="00775552" w:rsidP="00C43122">
            <w:pPr>
              <w:jc w:val="center"/>
              <w:rPr>
                <w:rFonts w:cs="Calibri"/>
                <w:sz w:val="20"/>
                <w:szCs w:val="20"/>
              </w:rPr>
            </w:pPr>
            <w:r w:rsidRPr="0074453D">
              <w:rPr>
                <w:rFonts w:cs="Calibri"/>
                <w:sz w:val="20"/>
                <w:szCs w:val="20"/>
              </w:rPr>
              <w:t>≤ 250 cpm/µCi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E469B" w:rsidRDefault="00775552" w:rsidP="008C3376">
            <w:pPr>
              <w:rPr>
                <w:rFonts w:cs="Calibri"/>
                <w:strike/>
                <w:sz w:val="20"/>
                <w:szCs w:val="20"/>
                <w:highlight w:val="green"/>
              </w:rPr>
            </w:pPr>
            <w:r w:rsidRPr="006E469B">
              <w:rPr>
                <w:rFonts w:cs="Calibri"/>
                <w:strike/>
                <w:sz w:val="20"/>
                <w:szCs w:val="20"/>
                <w:highlight w:val="green"/>
              </w:rPr>
              <w:t>Kolimatory dedykowane do badań kardiologicznych umożliwiające skrócenie akwizycji SPECT minimum do 5 min</w:t>
            </w:r>
          </w:p>
          <w:p w:rsidR="00775552" w:rsidRPr="006E469B" w:rsidRDefault="00775552" w:rsidP="008C3376">
            <w:pPr>
              <w:rPr>
                <w:rFonts w:cs="Calibri"/>
                <w:strike/>
                <w:sz w:val="20"/>
                <w:szCs w:val="20"/>
                <w:highlight w:val="green"/>
              </w:rPr>
            </w:pPr>
            <w:r w:rsidRPr="006E469B">
              <w:rPr>
                <w:rFonts w:cs="Calibri"/>
                <w:strike/>
                <w:sz w:val="20"/>
                <w:szCs w:val="20"/>
                <w:highlight w:val="green"/>
                <w:lang w:eastAsia="pl-PL"/>
              </w:rPr>
              <w:lastRenderedPageBreak/>
              <w:t xml:space="preserve">(dotyczy tylko </w:t>
            </w:r>
            <w:r w:rsidRPr="006E469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yellow"/>
                <w:lang w:eastAsia="pl-PL"/>
              </w:rPr>
            </w:pPr>
            <w:r w:rsidRPr="006E469B">
              <w:rPr>
                <w:rFonts w:cs="Calibri"/>
                <w:sz w:val="20"/>
                <w:szCs w:val="20"/>
                <w:highlight w:val="green"/>
                <w:lang w:eastAsia="pl-PL"/>
              </w:rPr>
              <w:t xml:space="preserve">Para kolimatorów kardiologicznych wysokoczułych ( o czułości powyżej 800 cpm/uCi) – do ultraszybkiej max. 5 minutowej akwizycji serca SPECT po orbicie kardio-centrycznej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technologii kamery klasycznej) </w:t>
            </w:r>
          </w:p>
        </w:tc>
        <w:tc>
          <w:tcPr>
            <w:tcW w:w="1975" w:type="dxa"/>
            <w:vAlign w:val="center"/>
          </w:tcPr>
          <w:p w:rsidR="00775552" w:rsidRPr="0074453D" w:rsidRDefault="00775552" w:rsidP="008C3376">
            <w:pPr>
              <w:jc w:val="center"/>
              <w:rPr>
                <w:rFonts w:cs="Calibri"/>
                <w:sz w:val="20"/>
                <w:szCs w:val="20"/>
              </w:rPr>
            </w:pPr>
            <w:r w:rsidRPr="0074453D">
              <w:rPr>
                <w:rFonts w:cs="Calibri"/>
                <w:sz w:val="20"/>
                <w:szCs w:val="20"/>
              </w:rPr>
              <w:lastRenderedPageBreak/>
              <w:t>TAK/NIE, Podać</w:t>
            </w:r>
          </w:p>
          <w:p w:rsidR="00775552" w:rsidRPr="0074453D" w:rsidRDefault="00775552" w:rsidP="008C3376">
            <w:pPr>
              <w:jc w:val="center"/>
              <w:rPr>
                <w:rFonts w:cs="Calibri"/>
                <w:sz w:val="20"/>
                <w:szCs w:val="20"/>
              </w:rPr>
            </w:pPr>
          </w:p>
        </w:tc>
        <w:tc>
          <w:tcPr>
            <w:tcW w:w="3128" w:type="dxa"/>
            <w:vAlign w:val="center"/>
          </w:tcPr>
          <w:p w:rsidR="00775552" w:rsidRPr="0074453D" w:rsidRDefault="00775552" w:rsidP="008C3376">
            <w:pPr>
              <w:jc w:val="center"/>
              <w:rPr>
                <w:rFonts w:cs="Calibri"/>
                <w:sz w:val="20"/>
                <w:szCs w:val="20"/>
              </w:rPr>
            </w:pPr>
          </w:p>
        </w:tc>
        <w:tc>
          <w:tcPr>
            <w:tcW w:w="3260" w:type="dxa"/>
            <w:vAlign w:val="center"/>
          </w:tcPr>
          <w:p w:rsidR="00775552" w:rsidRPr="0074453D" w:rsidRDefault="00775552" w:rsidP="008C3376">
            <w:pPr>
              <w:jc w:val="center"/>
              <w:rPr>
                <w:rFonts w:cs="Calibri"/>
                <w:sz w:val="20"/>
                <w:szCs w:val="20"/>
              </w:rPr>
            </w:pPr>
            <w:r w:rsidRPr="0074453D">
              <w:rPr>
                <w:rFonts w:cs="Calibri"/>
                <w:sz w:val="20"/>
                <w:szCs w:val="20"/>
              </w:rPr>
              <w:t xml:space="preserve">TAK =  </w:t>
            </w:r>
            <w:r w:rsidRPr="006E469B">
              <w:rPr>
                <w:rFonts w:cs="Calibri"/>
                <w:strike/>
                <w:sz w:val="20"/>
                <w:szCs w:val="20"/>
                <w:highlight w:val="green"/>
              </w:rPr>
              <w:t>2</w:t>
            </w:r>
            <w:r w:rsidRPr="006E469B">
              <w:rPr>
                <w:rFonts w:cs="Calibri"/>
                <w:sz w:val="20"/>
                <w:szCs w:val="20"/>
                <w:highlight w:val="green"/>
              </w:rPr>
              <w:t xml:space="preserve"> 10</w:t>
            </w:r>
            <w:r w:rsidRPr="0074453D">
              <w:rPr>
                <w:rFonts w:cs="Calibri"/>
                <w:sz w:val="20"/>
                <w:szCs w:val="20"/>
              </w:rPr>
              <w:t xml:space="preserve"> pkt</w:t>
            </w:r>
          </w:p>
          <w:p w:rsidR="00775552" w:rsidRPr="0074453D" w:rsidRDefault="00775552" w:rsidP="008C3376">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2237E">
            <w:pPr>
              <w:rPr>
                <w:rFonts w:cs="Calibri"/>
                <w:sz w:val="20"/>
                <w:szCs w:val="20"/>
              </w:rPr>
            </w:pPr>
            <w:r w:rsidRPr="0074453D">
              <w:rPr>
                <w:rFonts w:cs="Calibri"/>
                <w:sz w:val="20"/>
                <w:szCs w:val="20"/>
              </w:rPr>
              <w:t xml:space="preserve">Oprogramowanie do korekty dokładności zliczania i pomiarów ilościowych, w wyniku wydłużonego czasu martwego i przesunięcia piku energetycznego w trakcie akwizycji badań z o bardzo dużej szybkości zliczeń (np. z użyciem 177Lu i kolimatorami średnioenergetycznymi).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775552" w:rsidRPr="0074453D" w:rsidRDefault="00775552" w:rsidP="00B63E97">
            <w:pPr>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przechowywania kolimatorów, automatyzacja wymiany kolimatorów – dot. gammakamery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Wózek lub wózki (opisać, podać ile szt.) do oferowanych kolimatorów</w:t>
            </w:r>
          </w:p>
          <w:p w:rsidR="00775552" w:rsidRPr="0074453D" w:rsidRDefault="00775552" w:rsidP="005629EB">
            <w:pPr>
              <w:rPr>
                <w:rFonts w:cs="Calibri"/>
                <w:sz w:val="20"/>
                <w:szCs w:val="20"/>
              </w:rPr>
            </w:pPr>
            <w:r w:rsidRPr="0074453D">
              <w:rPr>
                <w:rFonts w:cs="Calibri"/>
                <w:sz w:val="20"/>
                <w:szCs w:val="20"/>
              </w:rPr>
              <w:t>LUB ALTERNATYWNIE</w:t>
            </w:r>
          </w:p>
          <w:p w:rsidR="00775552" w:rsidRPr="0074453D" w:rsidRDefault="00775552" w:rsidP="005629EB">
            <w:pPr>
              <w:rPr>
                <w:rFonts w:cs="Calibri"/>
                <w:sz w:val="20"/>
                <w:szCs w:val="20"/>
              </w:rPr>
            </w:pPr>
            <w:r w:rsidRPr="0074453D">
              <w:rPr>
                <w:rFonts w:cs="Calibri"/>
                <w:sz w:val="20"/>
                <w:szCs w:val="20"/>
              </w:rPr>
              <w:t>System przechowywania kolimatorów w systemie 4 szuflad umieszczonych w stole skanera, eliminujący konieczność wykorzystania jakichkolwiek wózków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oparty na wózkach = 0 pkt</w:t>
            </w:r>
          </w:p>
          <w:p w:rsidR="00775552" w:rsidRPr="0074453D" w:rsidRDefault="00775552" w:rsidP="00C43122">
            <w:pPr>
              <w:jc w:val="center"/>
              <w:rPr>
                <w:rFonts w:cs="Calibri"/>
                <w:sz w:val="20"/>
                <w:szCs w:val="20"/>
              </w:rPr>
            </w:pPr>
            <w:r w:rsidRPr="0074453D">
              <w:rPr>
                <w:rFonts w:cs="Calibri"/>
                <w:sz w:val="20"/>
                <w:szCs w:val="20"/>
              </w:rPr>
              <w:t>System oparty na zintegrowanych w stole skanera szufladach mieszczący min.2 pary kolimatorów = 2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Wymiana kolimatorów – zautomatyzowana w znaczeniu eliminacji korzystania z dodatkowych narzędzi typu śrubokręty, klucze itp.</w:t>
            </w:r>
          </w:p>
          <w:p w:rsidR="00775552" w:rsidRPr="0074453D" w:rsidRDefault="00775552" w:rsidP="005629EB">
            <w:pPr>
              <w:rPr>
                <w:rFonts w:cs="Calibri"/>
                <w:sz w:val="20"/>
                <w:szCs w:val="20"/>
              </w:rPr>
            </w:pPr>
            <w:r w:rsidRPr="0074453D">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775552" w:rsidRPr="0074453D" w:rsidRDefault="00775552" w:rsidP="005629EB">
            <w:pPr>
              <w:rPr>
                <w:rFonts w:cs="Calibri"/>
                <w:sz w:val="20"/>
                <w:szCs w:val="20"/>
              </w:rPr>
            </w:pP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r w:rsidRPr="00071086">
              <w:rPr>
                <w:rFonts w:cs="Calibri"/>
                <w:sz w:val="20"/>
                <w:szCs w:val="20"/>
                <w:highlight w:val="green"/>
              </w:rPr>
              <w:t>/NIE</w:t>
            </w:r>
            <w:r w:rsidR="00071086" w:rsidRPr="00071086">
              <w:rPr>
                <w:rFonts w:cs="Calibri"/>
                <w:sz w:val="20"/>
                <w:szCs w:val="20"/>
                <w:highlight w:val="green"/>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Wymiana kolimatorów w pełni zautomatyzowana w znaczeniu braku jakichkolwiek czynności manualnych przy wózku, czy szufladach przy ich wymianie, a działanie ograniczają się do zadania na monitorze przy gantry określonego zlecenia dla systemu. 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Łóżko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trike/>
                <w:sz w:val="20"/>
                <w:szCs w:val="20"/>
                <w:highlight w:val="green"/>
              </w:rPr>
              <w:sym w:font="Symbol" w:char="F0B3"/>
            </w:r>
            <w:r w:rsidRPr="00353531">
              <w:rPr>
                <w:rFonts w:cs="Calibri"/>
                <w:strike/>
                <w:sz w:val="20"/>
                <w:szCs w:val="20"/>
                <w:highlight w:val="green"/>
              </w:rPr>
              <w:t>200</w:t>
            </w:r>
            <w:r w:rsidRPr="00353531">
              <w:rPr>
                <w:rFonts w:cs="Calibri"/>
                <w:sz w:val="20"/>
                <w:szCs w:val="20"/>
                <w:highlight w:val="green"/>
              </w:rPr>
              <w:t xml:space="preserve">, </w:t>
            </w:r>
            <w:r w:rsidR="0098531C" w:rsidRPr="00A521DF">
              <w:rPr>
                <w:rFonts w:cs="Calibri"/>
                <w:sz w:val="20"/>
                <w:szCs w:val="20"/>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C4312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keV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078F6">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Rozmiar dostępnych ramek [piksele x piksele] </w:t>
            </w:r>
            <w:r w:rsidRPr="0074453D">
              <w:rPr>
                <w:rFonts w:cs="Calibri"/>
                <w:sz w:val="20"/>
                <w:szCs w:val="20"/>
              </w:rPr>
              <w:br/>
              <w:t>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 – matryca (min) 64 x 64</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 xml:space="preserve"> Matryca ≥ 128 x 128 = 2 pkt</w:t>
            </w:r>
          </w:p>
          <w:p w:rsidR="00775552" w:rsidRPr="0074453D" w:rsidRDefault="00775552" w:rsidP="00C43122">
            <w:pPr>
              <w:jc w:val="center"/>
              <w:rPr>
                <w:rFonts w:cs="Calibri"/>
                <w:sz w:val="20"/>
                <w:szCs w:val="20"/>
              </w:rPr>
            </w:pPr>
            <w:r w:rsidRPr="0074453D">
              <w:rPr>
                <w:rFonts w:cs="Calibri"/>
                <w:sz w:val="20"/>
                <w:szCs w:val="20"/>
              </w:rPr>
              <w:t xml:space="preserve">Matryca &lt; 128 x 128 = 0pkt, </w:t>
            </w:r>
          </w:p>
          <w:p w:rsidR="00775552" w:rsidRPr="0074453D" w:rsidRDefault="00775552" w:rsidP="00C43122">
            <w:pPr>
              <w:jc w:val="center"/>
              <w:rPr>
                <w:rFonts w:cs="Calibri"/>
                <w:sz w:val="20"/>
                <w:szCs w:val="20"/>
              </w:rPr>
            </w:pPr>
            <w:r w:rsidRPr="0074453D">
              <w:rPr>
                <w:rFonts w:cs="Calibri"/>
                <w:sz w:val="20"/>
                <w:szCs w:val="20"/>
              </w:rPr>
              <w:t>NIE=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Długość skanu całego ciała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200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szybkości przesuwu detektorów w trakcie akwizycji [cm/min]</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min. 5 – 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Odwzorowanie konturu pacjenta „on line” w trakcie akwizycji całego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Geometria ustawienia detektorów (dostępne kąty w badaniu SPECT – min. 180º, 90º)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obrotu detektorów wokół osi gantry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360º,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Tomografia </w:t>
            </w:r>
            <w:r w:rsidR="00BC1870" w:rsidRPr="000F7D31">
              <w:rPr>
                <w:rFonts w:cs="Calibri"/>
                <w:sz w:val="20"/>
                <w:szCs w:val="20"/>
                <w:highlight w:val="green"/>
              </w:rPr>
              <w:t>SP</w:t>
            </w:r>
            <w:r w:rsidRPr="0074453D">
              <w:rPr>
                <w:rFonts w:cs="Calibri"/>
                <w:sz w:val="20"/>
                <w:szCs w:val="20"/>
              </w:rPr>
              <w:t>ECT bramkowana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jednoczasowej rejestracji /akwizycji danych SPECT </w:t>
            </w:r>
            <w:r w:rsidRPr="0074453D">
              <w:rPr>
                <w:rFonts w:cs="Calibri"/>
                <w:sz w:val="20"/>
                <w:szCs w:val="20"/>
              </w:rPr>
              <w:lastRenderedPageBreak/>
              <w:t>bramkowanych i niebramkowanych.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Odwzorowanie konturu pacjenta w trakcie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step and shot (zatrzymanie i rejestracja ramki)</w:t>
            </w:r>
          </w:p>
          <w:p w:rsidR="00775552" w:rsidRPr="0074453D" w:rsidRDefault="00775552" w:rsidP="005629EB">
            <w:pPr>
              <w:rPr>
                <w:rFonts w:cs="Calibri"/>
                <w:sz w:val="20"/>
                <w:szCs w:val="20"/>
              </w:rPr>
            </w:pPr>
            <w:r w:rsidRPr="0074453D">
              <w:rPr>
                <w:rFonts w:cs="Calibri"/>
                <w:sz w:val="20"/>
                <w:szCs w:val="20"/>
              </w:rPr>
              <w:t>- continous (rejestracja ramek podczas ruchu gantry)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2 TB</w:t>
            </w:r>
          </w:p>
          <w:p w:rsidR="00775552" w:rsidRPr="0074453D" w:rsidRDefault="00775552" w:rsidP="005629EB">
            <w:pPr>
              <w:rPr>
                <w:rFonts w:cs="Calibri"/>
                <w:sz w:val="20"/>
                <w:szCs w:val="20"/>
              </w:rPr>
            </w:pPr>
            <w:r w:rsidRPr="0074453D">
              <w:rPr>
                <w:rFonts w:cs="Calibri"/>
                <w:sz w:val="20"/>
                <w:szCs w:val="20"/>
              </w:rPr>
              <w:t>Możliwość sklonowania funkcjonalności monitora podglądu na aparacie.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pojemność dysków</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Tworzenie własnych protokołów akwizycyjnych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w:t>
            </w:r>
            <w:r w:rsidRPr="0074453D">
              <w:rPr>
                <w:rFonts w:ascii="Calibri" w:hAnsi="Calibri" w:cs="Calibri"/>
                <w:kern w:val="0"/>
                <w:sz w:val="20"/>
                <w:szCs w:val="20"/>
                <w:lang w:eastAsia="en-US"/>
              </w:rPr>
              <w:lastRenderedPageBreak/>
              <w:t xml:space="preserve">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910865">
              <w:rPr>
                <w:rFonts w:cs="Calibri"/>
                <w:sz w:val="20"/>
                <w:szCs w:val="20"/>
                <w:highlight w:val="green"/>
                <w:lang w:eastAsia="pl-PL"/>
              </w:rPr>
              <w:t>Dostarczenie po uzyskaniu stosownych zezwoleń. Obowiązuje odbiór i utylizacja zużytych źródeł przy ich wymianie na nowe.</w:t>
            </w:r>
            <w:r>
              <w:rPr>
                <w:rFonts w:cs="Calibri"/>
                <w:sz w:val="20"/>
                <w:szCs w:val="20"/>
                <w:highlight w:val="yellow"/>
                <w:lang w:eastAsia="pl-PL"/>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Pr>
                <w:rFonts w:cs="Calibri"/>
                <w:sz w:val="20"/>
                <w:szCs w:val="20"/>
              </w:rPr>
              <w:t>–</w:t>
            </w:r>
            <w:r w:rsidRPr="0074453D">
              <w:rPr>
                <w:rFonts w:cs="Calibri"/>
                <w:sz w:val="20"/>
                <w:szCs w:val="20"/>
              </w:rPr>
              <w:t xml:space="preserve"> </w:t>
            </w:r>
            <w:r w:rsidRPr="00910865">
              <w:rPr>
                <w:rFonts w:cs="Calibri"/>
                <w:strike/>
                <w:sz w:val="20"/>
                <w:szCs w:val="20"/>
                <w:highlight w:val="green"/>
              </w:rPr>
              <w:t xml:space="preserve">5 </w:t>
            </w:r>
            <w:r w:rsidRPr="00910865">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otrzymywanie listy roboczej (work list)</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zapytanie o badania</w:t>
            </w:r>
          </w:p>
          <w:p w:rsidR="00775552" w:rsidRPr="0074453D" w:rsidRDefault="00775552" w:rsidP="00C43122">
            <w:pPr>
              <w:numPr>
                <w:ilvl w:val="0"/>
                <w:numId w:val="1"/>
              </w:numPr>
              <w:suppressAutoHyphens/>
              <w:spacing w:after="0" w:line="240" w:lineRule="auto"/>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Aparat nr 2: Gamma kamera SPECT / CT – szt.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Liczba  warstw jednoczesnej akwizycji na poziomie grubości warstwy submilimetrowym,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powinien umożliwić wykonanie akwizycji spiralnej i aksjalnej</w:t>
            </w:r>
            <w:r>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(mA) lamp</w:t>
            </w:r>
            <w:r w:rsidR="008B2F34" w:rsidRPr="002510B5">
              <w:rPr>
                <w:sz w:val="20"/>
                <w:szCs w:val="20"/>
                <w:highlight w:val="green"/>
                <w:lang w:eastAsia="pl-PL"/>
              </w:rPr>
              <w:t xml:space="preserve">y rtg </w:t>
            </w:r>
            <w:r w:rsidR="008B2F34" w:rsidRPr="002510B5">
              <w:rPr>
                <w:sz w:val="20"/>
                <w:szCs w:val="20"/>
                <w:highlight w:val="green"/>
                <w:lang w:eastAsia="pl-PL"/>
              </w:rPr>
              <w:lastRenderedPageBreak/>
              <w:t>w płaszczyźnie xy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Wybór napięć lampy RTG co najmniej w zakresie od 80 kV do 130 kV</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Maksymalny zakres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(mA)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340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największa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Pozostałe–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Najkrótszy czas obrotu układu lampa rtg-detektor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czas trwania ciągłego skanu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Długość skanu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Długość skanu przeglądowego (topogram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Szerokość skanu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zmienności pitch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[lp/cm]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niskokontrastowa, mierzona dla fantomu CATHPAN o średnicy 20 cm, przy warstwie 10 mm, dla różnicy kontrastu 3 HU, napięcia z zakresu 130-140 kV, mierzona w polu akwizycyjnym 50 </w:t>
            </w:r>
            <w:r w:rsidRPr="0074453D">
              <w:rPr>
                <w:rFonts w:cs="Calibri"/>
                <w:sz w:val="20"/>
                <w:szCs w:val="20"/>
              </w:rPr>
              <w:lastRenderedPageBreak/>
              <w:t>cm,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u CT min. 50 cm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rozszerzenia w przypadku korekcji atentacji oraz lokalizacji anatomicznej do min. 70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Pr="00071086">
              <w:rPr>
                <w:rFonts w:cs="Calibri"/>
                <w:strike/>
                <w:sz w:val="20"/>
                <w:szCs w:val="20"/>
                <w:highlight w:val="green"/>
              </w:rPr>
              <w:t>/ NIE</w:t>
            </w:r>
            <w:r w:rsidRPr="0074453D">
              <w:rPr>
                <w:rFonts w:cs="Calibri"/>
                <w:strike/>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Osiowe pole widzenia skanu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955E5" w:rsidRPr="007955E5" w:rsidRDefault="007955E5" w:rsidP="007955E5">
            <w:pPr>
              <w:jc w:val="center"/>
              <w:rPr>
                <w:rFonts w:cs="Calibri"/>
                <w:strike/>
                <w:sz w:val="20"/>
                <w:szCs w:val="20"/>
                <w:highlight w:val="green"/>
              </w:rPr>
            </w:pPr>
            <w:r w:rsidRPr="007955E5">
              <w:rPr>
                <w:rFonts w:cs="Calibri"/>
                <w:strike/>
                <w:sz w:val="20"/>
                <w:szCs w:val="20"/>
                <w:highlight w:val="green"/>
              </w:rPr>
              <w:t>Wartość największa – 10 pkt</w:t>
            </w:r>
          </w:p>
          <w:p w:rsidR="007955E5" w:rsidRPr="007955E5" w:rsidRDefault="007955E5" w:rsidP="007955E5">
            <w:pPr>
              <w:jc w:val="center"/>
              <w:rPr>
                <w:rFonts w:cs="Calibri"/>
                <w:strike/>
                <w:sz w:val="20"/>
                <w:szCs w:val="20"/>
                <w:highlight w:val="green"/>
              </w:rPr>
            </w:pPr>
            <w:r w:rsidRPr="007955E5">
              <w:rPr>
                <w:rFonts w:cs="Calibri"/>
                <w:strike/>
                <w:sz w:val="20"/>
                <w:szCs w:val="20"/>
                <w:highlight w:val="green"/>
              </w:rPr>
              <w:t>Pozostałe – 0 pkt</w:t>
            </w:r>
          </w:p>
          <w:p w:rsidR="007955E5" w:rsidRDefault="007955E5" w:rsidP="007955E5">
            <w:pPr>
              <w:jc w:val="center"/>
              <w:rPr>
                <w:rFonts w:cs="Calibri"/>
                <w:strike/>
                <w:sz w:val="20"/>
                <w:szCs w:val="20"/>
              </w:rPr>
            </w:pPr>
            <w:r w:rsidRPr="007955E5">
              <w:rPr>
                <w:rFonts w:cs="Calibri"/>
                <w:strike/>
                <w:sz w:val="20"/>
                <w:szCs w:val="20"/>
                <w:highlight w:val="green"/>
              </w:rPr>
              <w:t>Bez punktacji</w:t>
            </w:r>
          </w:p>
          <w:p w:rsidR="007955E5" w:rsidRPr="007955E5" w:rsidRDefault="007955E5" w:rsidP="007955E5">
            <w:pPr>
              <w:jc w:val="center"/>
              <w:rPr>
                <w:rFonts w:cs="Calibri"/>
                <w:sz w:val="20"/>
                <w:szCs w:val="20"/>
                <w:highlight w:val="yellow"/>
              </w:rPr>
            </w:pPr>
            <w:r>
              <w:rPr>
                <w:rFonts w:cs="Calibri"/>
                <w:sz w:val="20"/>
                <w:szCs w:val="20"/>
                <w:highlight w:val="yellow"/>
              </w:rPr>
              <w:t>Wartość największa – 1</w:t>
            </w:r>
            <w:r w:rsidRPr="007955E5">
              <w:rPr>
                <w:rFonts w:cs="Calibri"/>
                <w:sz w:val="20"/>
                <w:szCs w:val="20"/>
                <w:highlight w:val="yellow"/>
              </w:rPr>
              <w:t xml:space="preserve"> pkt</w:t>
            </w:r>
          </w:p>
          <w:p w:rsidR="00775552" w:rsidRPr="0074453D" w:rsidRDefault="007955E5" w:rsidP="007955E5">
            <w:pPr>
              <w:jc w:val="center"/>
              <w:rPr>
                <w:rFonts w:cs="Calibri"/>
                <w:sz w:val="20"/>
                <w:szCs w:val="20"/>
              </w:rPr>
            </w:pPr>
            <w:r w:rsidRPr="007955E5">
              <w:rPr>
                <w:rFonts w:cs="Calibri"/>
                <w:sz w:val="20"/>
                <w:szCs w:val="20"/>
                <w:highlight w:val="yellow"/>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przekroju uzyskanego ze skanu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74453D">
            <w:pPr>
              <w:jc w:val="center"/>
              <w:rPr>
                <w:rFonts w:cs="Calibri"/>
                <w:sz w:val="20"/>
                <w:szCs w:val="20"/>
              </w:rPr>
            </w:pPr>
            <w:r>
              <w:rPr>
                <w:rFonts w:cs="Calibri"/>
                <w:sz w:val="20"/>
                <w:szCs w:val="20"/>
              </w:rPr>
              <w:t xml:space="preserve">Wartość najmniejsza – </w:t>
            </w:r>
            <w:r w:rsidRPr="0036534D">
              <w:rPr>
                <w:rFonts w:cs="Calibri"/>
                <w:sz w:val="20"/>
                <w:szCs w:val="20"/>
                <w:highlight w:val="green"/>
              </w:rPr>
              <w:t>1</w:t>
            </w:r>
            <w:r w:rsidR="00775552" w:rsidRPr="0036534D">
              <w:rPr>
                <w:rFonts w:cs="Calibri"/>
                <w:sz w:val="20"/>
                <w:szCs w:val="20"/>
                <w:highlight w:val="green"/>
              </w:rPr>
              <w:t xml:space="preserve"> pkt</w:t>
            </w:r>
          </w:p>
          <w:p w:rsidR="00775552" w:rsidRPr="0074453D" w:rsidRDefault="00A521DF" w:rsidP="00A521DF">
            <w:pPr>
              <w:jc w:val="center"/>
              <w:rPr>
                <w:rFonts w:cs="Calibri"/>
                <w:sz w:val="20"/>
                <w:szCs w:val="20"/>
              </w:rPr>
            </w:pPr>
            <w:r>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Algorytm iteracyjny służący do usuwania na obrazach TK artefaktów pochodzenia odmetalowego – od endoprotez i implantów, służący jednocześnie do korekcji pochłaniania.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5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Możliwość przeprowadzania wielokrotnych rekonstrukcji obrazu i reformatowania -  równolegle do skanowania. Możliwość wprowadzenia do protokołu skanowania wczytania do min. </w:t>
            </w:r>
            <w:r w:rsidRPr="003E618C">
              <w:rPr>
                <w:rFonts w:cs="Calibri"/>
                <w:strike/>
                <w:sz w:val="20"/>
                <w:szCs w:val="20"/>
                <w:highlight w:val="green"/>
              </w:rPr>
              <w:t>8</w:t>
            </w:r>
            <w:r w:rsidRPr="003E618C">
              <w:rPr>
                <w:rFonts w:cs="Calibri"/>
                <w:sz w:val="20"/>
                <w:szCs w:val="20"/>
                <w:highlight w:val="green"/>
              </w:rPr>
              <w:t xml:space="preserve"> 2</w:t>
            </w:r>
            <w:r w:rsidRPr="0074453D">
              <w:rPr>
                <w:rFonts w:cs="Calibri"/>
                <w:sz w:val="20"/>
                <w:szCs w:val="20"/>
              </w:rPr>
              <w:t xml:space="preserve"> zadań rekonstrukcji. Zadania te są wykonywane automatycznie w tle, bez </w:t>
            </w:r>
            <w:r w:rsidRPr="0074453D">
              <w:rPr>
                <w:rFonts w:cs="Calibri"/>
                <w:sz w:val="20"/>
                <w:szCs w:val="20"/>
              </w:rPr>
              <w:lastRenderedPageBreak/>
              <w:t>konieczności opóźniania rozpoczęcia badania kolejnego pacjenta.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r w:rsidRPr="00245625">
              <w:rPr>
                <w:rFonts w:cs="Calibri"/>
                <w:strike/>
                <w:sz w:val="20"/>
                <w:szCs w:val="20"/>
                <w:highlight w:val="green"/>
              </w:rPr>
              <w:t>/NIE</w:t>
            </w:r>
            <w:r w:rsidRPr="0074453D">
              <w:rPr>
                <w:rFonts w:cs="Calibri"/>
                <w:sz w:val="20"/>
                <w:szCs w:val="20"/>
              </w:rPr>
              <w:t>, Podać (w tym podać liczbę realizowanych  zadań rekonstrukcji)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TAK – 5 pkt</w:t>
            </w:r>
          </w:p>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NIE – 0 pkt</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t>Liczba zadań powyżej 2 -</w:t>
            </w:r>
            <w:r w:rsidR="00775552" w:rsidRPr="003E618C">
              <w:rPr>
                <w:rFonts w:cs="Calibri"/>
                <w:sz w:val="20"/>
                <w:szCs w:val="20"/>
                <w:highlight w:val="green"/>
                <w:lang w:eastAsia="pl-PL"/>
              </w:rPr>
              <w:t xml:space="preserve"> 1 pkt, </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lastRenderedPageBreak/>
              <w:t>Liczba zadań powyżej 7 - 2 pkt.</w:t>
            </w:r>
          </w:p>
          <w:p w:rsidR="00775552" w:rsidRPr="00750AC6" w:rsidRDefault="003E618C" w:rsidP="00C43122">
            <w:pPr>
              <w:jc w:val="center"/>
              <w:rPr>
                <w:rFonts w:cs="Calibri"/>
                <w:sz w:val="20"/>
                <w:szCs w:val="20"/>
              </w:rPr>
            </w:pPr>
            <w:r>
              <w:rPr>
                <w:rFonts w:cs="Calibri"/>
                <w:sz w:val="20"/>
                <w:szCs w:val="20"/>
                <w:highlight w:val="green"/>
                <w:lang w:eastAsia="pl-PL"/>
              </w:rPr>
              <w:t>Wartość graniczna -</w:t>
            </w:r>
            <w:r w:rsidR="00775552" w:rsidRPr="003E618C">
              <w:rPr>
                <w:rFonts w:cs="Calibri"/>
                <w:sz w:val="20"/>
                <w:szCs w:val="20"/>
                <w:highlight w:val="green"/>
                <w:lang w:eastAsia="pl-PL"/>
              </w:rPr>
              <w:t xml:space="preserv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Tekstprzypisukocowego"/>
              <w:snapToGrid w:val="0"/>
              <w:spacing w:line="276" w:lineRule="auto"/>
              <w:contextualSpacing/>
              <w:rPr>
                <w:rFonts w:cs="Calibri"/>
              </w:rPr>
            </w:pPr>
            <w:r w:rsidRPr="0074453D">
              <w:rPr>
                <w:rFonts w:cs="Calibri"/>
              </w:rPr>
              <w:t>Zakres obrotu obu detektorów gammakamery wokół osi gantry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bCs/>
                <w:sz w:val="20"/>
                <w:szCs w:val="20"/>
              </w:rPr>
              <w:t xml:space="preserve">≥ </w:t>
            </w:r>
            <w:r w:rsidRPr="0074453D">
              <w:rPr>
                <w:rFonts w:cs="Calibri"/>
                <w:sz w:val="20"/>
                <w:szCs w:val="20"/>
              </w:rPr>
              <w:t>540°,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line="276" w:lineRule="auto"/>
              <w:contextualSpacing/>
              <w:rPr>
                <w:rFonts w:cs="Calibri"/>
                <w:sz w:val="20"/>
                <w:szCs w:val="20"/>
              </w:rPr>
            </w:pPr>
            <w:r w:rsidRPr="0074453D">
              <w:rPr>
                <w:rFonts w:cs="Calibri"/>
                <w:sz w:val="20"/>
                <w:szCs w:val="20"/>
              </w:rPr>
              <w:t>Możliwość ustawienia detektorów gammakamera do badań</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między detektorami ustawionymi w sposób umożliwiający jednoczesne wykonanie akwizycji/zdjęć PA/AP (system umożliwia elektryczne sterowanie wysokościami detektorów w taki sposób, że możliwe jest ich ustawienie na różnych wysokościach)</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z detektorem ustawionym w ten sposób, że jego pole</w:t>
            </w:r>
            <w:r w:rsidRPr="0074453D">
              <w:rPr>
                <w:rFonts w:cs="Calibri"/>
                <w:sz w:val="20"/>
                <w:szCs w:val="20"/>
              </w:rPr>
              <w:br w:type="page"/>
              <w:t xml:space="preserve"> widzenia skierowane jest w kierunku od osi obrotu gantry, na zewnątrz, z możliwością</w:t>
            </w:r>
            <w:r w:rsidRPr="0074453D">
              <w:rPr>
                <w:rFonts w:cs="Calibri"/>
                <w:sz w:val="20"/>
                <w:szCs w:val="20"/>
              </w:rPr>
              <w:br w:type="page"/>
              <w:t xml:space="preserve"> elektrycznego sterowania wysokością każdego z detektorów osobno. </w:t>
            </w:r>
            <w:r w:rsidRPr="0074453D">
              <w:rPr>
                <w:rFonts w:cs="Calibri"/>
                <w:sz w:val="20"/>
                <w:szCs w:val="20"/>
              </w:rPr>
              <w:br w:type="page"/>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do badań pacjenta na leżance/wózku szpitalnym</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leżącej (obie głowice ustawione w jednej płaszczyźnie nad ciałem pacjenta, umożliwiają jednoczesne obrazowanie leżącego na leżance/wózku szpitalnym pacjenta)</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pod kątem 180° (równolegle – np. do badań całego ciała i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Możliwość ustawienia detektorów pod kątem 90º, dostępna co najmniej dla kolimatorów LEHR (np. do badań kardiologicznych SPECT ), z </w:t>
            </w:r>
            <w:r w:rsidRPr="0074453D">
              <w:rPr>
                <w:rFonts w:cs="Calibri"/>
                <w:sz w:val="20"/>
                <w:szCs w:val="20"/>
              </w:rPr>
              <w:lastRenderedPageBreak/>
              <w:t>możliwością zbliżenia głowic w trybie L do osi obrotu badania SPECT, z aktywnym w tym trybie 'body contouring"</w:t>
            </w:r>
          </w:p>
          <w:p w:rsidR="00775552" w:rsidRPr="0074453D" w:rsidRDefault="00775552" w:rsidP="005674DE">
            <w:pPr>
              <w:rPr>
                <w:rFonts w:cs="Calibri"/>
                <w:sz w:val="20"/>
                <w:szCs w:val="20"/>
              </w:rPr>
            </w:pPr>
            <w:r w:rsidRPr="0074453D">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1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Jeden monitor podglądu dostępny z obu stron gantry (bez konieczności demontażu),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gantry,</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74453D">
              <w:rPr>
                <w:rFonts w:ascii="Calibri" w:hAnsi="Calibri" w:cs="Calibri"/>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Możliwość prezentacja parametrów ilościowych w badaniach SPECT/CT w postaci SUV (Standard Uptake Value). Kalibracja za pomocą źródeł 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Możliwość prezentacja parametrów ilościowych w badaniach SPECT/CT w postaci SUV (Standard Uptake Value).</w:t>
            </w:r>
            <w:r w:rsidRPr="0074453D">
              <w:rPr>
                <w:rFonts w:cs="Calibri"/>
                <w:sz w:val="20"/>
                <w:szCs w:val="20"/>
                <w:lang w:eastAsia="pl-PL"/>
              </w:rPr>
              <w:t xml:space="preserve"> Kalibracja za pomocą zamkniętych źródeł NIST</w:t>
            </w:r>
            <w:r>
              <w:rPr>
                <w:rFonts w:cs="Calibri"/>
                <w:sz w:val="20"/>
                <w:szCs w:val="20"/>
                <w:lang w:eastAsia="pl-PL"/>
              </w:rPr>
              <w:t xml:space="preserve"> </w:t>
            </w:r>
            <w:r w:rsidRPr="0074453D">
              <w:rPr>
                <w:rFonts w:cs="Calibri"/>
                <w:sz w:val="20"/>
                <w:szCs w:val="20"/>
                <w:lang w:eastAsia="pl-PL"/>
              </w:rPr>
              <w:t xml:space="preserve">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Akwizycja obrazów SPECT/CT dla martycy SPECT 256x256 wraz z dedykowaną rekonstrukcją tych danych.</w:t>
            </w:r>
          </w:p>
          <w:p w:rsidR="00775552" w:rsidRPr="00E01790" w:rsidRDefault="00775552" w:rsidP="00BD4766">
            <w:pPr>
              <w:rPr>
                <w:rFonts w:cs="Calibri"/>
                <w:sz w:val="20"/>
                <w:szCs w:val="20"/>
                <w:highlight w:val="green"/>
              </w:rPr>
            </w:pPr>
            <w:r w:rsidRPr="00E01790">
              <w:rPr>
                <w:rFonts w:cs="Calibri"/>
                <w:sz w:val="20"/>
                <w:szCs w:val="20"/>
                <w:highlight w:val="green"/>
              </w:rPr>
              <w:t xml:space="preserve">Akwizycja obrazów SPECT/CT dla martycy SPECT 256x256 wraz z dedykowaną dla SPECT rekonstrukcją wykorzystującą do poprawy </w:t>
            </w:r>
            <w:r w:rsidRPr="00E01790">
              <w:rPr>
                <w:rFonts w:cs="Calibri"/>
                <w:sz w:val="20"/>
                <w:szCs w:val="20"/>
                <w:highlight w:val="green"/>
              </w:rPr>
              <w:lastRenderedPageBreak/>
              <w:t xml:space="preserve">jakości obrazów  dane surowe (raw data) ze skanu CT po ich sklasyfikowaniu do 5 klas na bazie jednostek HU.  </w:t>
            </w:r>
          </w:p>
          <w:p w:rsidR="00775552" w:rsidRPr="00E01790" w:rsidRDefault="00775552" w:rsidP="00BD4766">
            <w:pPr>
              <w:rPr>
                <w:rFonts w:cs="Calibri"/>
                <w:sz w:val="20"/>
                <w:szCs w:val="20"/>
                <w:highlight w:val="green"/>
              </w:rPr>
            </w:pPr>
            <w:r w:rsidRPr="00E01790">
              <w:rPr>
                <w:rFonts w:cs="Calibri"/>
                <w:sz w:val="20"/>
                <w:szCs w:val="20"/>
                <w:highlight w:val="green"/>
              </w:rPr>
              <w:t>Niezbędny sprzęt komputerowy umożliwiający wydajnie przeprowadzenie w/w rekonstrukcji.</w:t>
            </w:r>
          </w:p>
          <w:p w:rsidR="00775552" w:rsidRPr="00A521DF" w:rsidRDefault="00775552" w:rsidP="00BD4766">
            <w:pPr>
              <w:snapToGrid w:val="0"/>
              <w:spacing w:line="276" w:lineRule="auto"/>
              <w:contextualSpacing/>
              <w:rPr>
                <w:rFonts w:cs="Calibri"/>
                <w:sz w:val="20"/>
                <w:szCs w:val="20"/>
                <w:highlight w:val="green"/>
              </w:rPr>
            </w:pPr>
            <w:r w:rsidRPr="00E01790">
              <w:rPr>
                <w:rFonts w:cs="Calibri"/>
                <w:sz w:val="20"/>
                <w:szCs w:val="20"/>
                <w:highlight w:val="green"/>
              </w:rPr>
              <w:t>Podać nazwę licencji</w:t>
            </w:r>
            <w:r w:rsidR="00A521DF">
              <w:rPr>
                <w:rFonts w:cs="Calibri"/>
                <w:sz w:val="20"/>
                <w:szCs w:val="20"/>
                <w:highlight w:val="green"/>
              </w:rPr>
              <w:t xml:space="preserve"> (narzędzia) producenta systemu.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E01790" w:rsidRPr="00E01790">
              <w:rPr>
                <w:rFonts w:cs="Calibri"/>
                <w:strike/>
                <w:sz w:val="20"/>
                <w:szCs w:val="20"/>
                <w:highlight w:val="green"/>
              </w:rPr>
              <w:t>5</w:t>
            </w:r>
            <w:r w:rsidR="00E01790" w:rsidRPr="00E01790">
              <w:rPr>
                <w:rFonts w:cs="Calibri"/>
                <w:sz w:val="20"/>
                <w:szCs w:val="20"/>
                <w:highlight w:val="green"/>
              </w:rPr>
              <w:t xml:space="preserve"> </w:t>
            </w:r>
            <w:r w:rsidRPr="00E01790">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akwizycji danych niezbędnych do korekcji rozproszenia (scatter correction) min. dal 99mTc,131I, 123I, 111In, 67Ga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D3451E">
            <w:pPr>
              <w:rPr>
                <w:rFonts w:cs="Calibri"/>
                <w:sz w:val="20"/>
                <w:szCs w:val="20"/>
              </w:rPr>
            </w:pPr>
            <w:r w:rsidRPr="0074453D">
              <w:rPr>
                <w:rFonts w:cs="Calibri"/>
                <w:sz w:val="20"/>
                <w:szCs w:val="20"/>
              </w:rPr>
              <w:t>Możliwości założenia na detektory i przeprowadzania prawidłowej akwizycji na kolimatorach minimum: niskoenergetycznych wysokorozdzielczych, średnioenergetycznych, wysokoenergetycznych, typu pinhole.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Zakres dostępnych energii (keV)</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Gammakamera klasyczna:    </w:t>
            </w:r>
            <w:r w:rsidRPr="0074453D">
              <w:rPr>
                <w:rFonts w:cs="Calibri"/>
                <w:sz w:val="20"/>
                <w:szCs w:val="20"/>
              </w:rPr>
              <w:sym w:font="Symbol" w:char="F0B3"/>
            </w:r>
            <w:r w:rsidRPr="0074453D">
              <w:rPr>
                <w:rFonts w:cs="Calibri"/>
                <w:sz w:val="20"/>
                <w:szCs w:val="20"/>
              </w:rPr>
              <w:t xml:space="preserve"> 40 – 600,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Średnica otworu zintegrowanego </w:t>
            </w:r>
            <w:r w:rsidRPr="0074453D">
              <w:rPr>
                <w:rFonts w:cs="Calibri"/>
                <w:strike/>
                <w:sz w:val="20"/>
                <w:szCs w:val="20"/>
              </w:rPr>
              <w:t xml:space="preserve">  </w:t>
            </w:r>
            <w:r w:rsidRPr="0074453D">
              <w:rPr>
                <w:rFonts w:cs="Calibri"/>
                <w:sz w:val="20"/>
                <w:szCs w:val="20"/>
              </w:rPr>
              <w:t>gantry w jednej obudowie wynosząca co najmniej 70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Detektory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Pełne użyteczne pole widzenia detektora prostokątne, bez obciętych naroży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Wymiary prostokątnego, użytecznego pola widzenia detektora (UFOV), minimalne:  Szerokość ≥ 53,3 cm, Głębokość ≥ 38,7 cm</w:t>
            </w:r>
          </w:p>
        </w:tc>
        <w:tc>
          <w:tcPr>
            <w:tcW w:w="1975" w:type="dxa"/>
            <w:vAlign w:val="center"/>
          </w:tcPr>
          <w:p w:rsidR="00775552" w:rsidRPr="0074453D" w:rsidRDefault="00775552" w:rsidP="00C43122">
            <w:pPr>
              <w:snapToGrid w:val="0"/>
              <w:spacing w:line="276" w:lineRule="auto"/>
              <w:contextualSpacing/>
              <w:jc w:val="center"/>
              <w:rPr>
                <w:rFonts w:cs="Calibri"/>
                <w:sz w:val="20"/>
                <w:szCs w:val="20"/>
              </w:rPr>
            </w:pPr>
            <w:r w:rsidRPr="0074453D">
              <w:rPr>
                <w:rFonts w:cs="Calibri"/>
                <w:sz w:val="20"/>
                <w:szCs w:val="20"/>
              </w:rPr>
              <w:t xml:space="preserve">TAK, Podać szerokość, głębokość, pole. </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Największe pole obrazowania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Liczba fotopowielaczy w detektorze nie mniejsza niż 59</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Grubość kryształu 9,5 mm (3/8")</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Pełna cyfryzacja detektora: jeden ADC na jeden fotopowielacz</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liczbę przetworników analogowo cyfrowych w jednym detektorze</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FWHM (UFOV)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r w:rsidRPr="0074453D">
              <w:rPr>
                <w:rFonts w:cs="Calibri"/>
                <w:sz w:val="20"/>
                <w:szCs w:val="20"/>
                <w:lang w:val="en-US"/>
              </w:rPr>
              <w:t>różniczkowa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(„Intrinsic Spatial Linearity”):</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różniczkowa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lastRenderedPageBreak/>
              <w:t>różniczkowa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r w:rsidRPr="0074453D">
              <w:rPr>
                <w:rFonts w:cs="Calibri"/>
                <w:sz w:val="20"/>
                <w:szCs w:val="20"/>
                <w:lang w:val="en-US"/>
              </w:rPr>
              <w:t>całkowita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Zakres energetyczny min 40 - 600 keV</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energetyczna zdolność rozdzielcza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(wg standardu NEMA) ≤ 9,9 %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 9,6%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&gt; 9,6 %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Kolimatory</w:t>
            </w:r>
          </w:p>
        </w:tc>
      </w:tr>
      <w:tr w:rsidR="00775552" w:rsidRPr="0074453D" w:rsidTr="00C43122">
        <w:tc>
          <w:tcPr>
            <w:tcW w:w="567" w:type="dxa"/>
            <w:vAlign w:val="center"/>
          </w:tcPr>
          <w:p w:rsidR="00775552" w:rsidRPr="002510B5" w:rsidRDefault="00775552" w:rsidP="00C43122">
            <w:pPr>
              <w:pStyle w:val="Akapitzlist"/>
              <w:numPr>
                <w:ilvl w:val="0"/>
                <w:numId w:val="17"/>
              </w:numPr>
              <w:ind w:hanging="720"/>
              <w:rPr>
                <w:rFonts w:cs="Calibri"/>
                <w:sz w:val="20"/>
                <w:szCs w:val="20"/>
              </w:rPr>
            </w:pPr>
          </w:p>
        </w:tc>
        <w:tc>
          <w:tcPr>
            <w:tcW w:w="6096" w:type="dxa"/>
            <w:vAlign w:val="center"/>
          </w:tcPr>
          <w:p w:rsidR="006E469B" w:rsidRPr="006E469B" w:rsidRDefault="006E469B" w:rsidP="0062395E">
            <w:pPr>
              <w:rPr>
                <w:rFonts w:cs="Calibri"/>
                <w:strike/>
                <w:sz w:val="20"/>
                <w:szCs w:val="20"/>
                <w:highlight w:val="green"/>
              </w:rPr>
            </w:pPr>
            <w:r w:rsidRPr="006E469B">
              <w:rPr>
                <w:rFonts w:cs="Calibri"/>
                <w:strike/>
                <w:sz w:val="20"/>
                <w:szCs w:val="20"/>
                <w:highlight w:val="green"/>
              </w:rPr>
              <w:t>Kolimatory niskoenergetyczne wysokiej rozdzielczości (LEHR) - 2 sztuki (po jednej sztuce do każdego z detektorów)</w:t>
            </w:r>
          </w:p>
          <w:p w:rsidR="00775552" w:rsidRPr="006E469B" w:rsidRDefault="00775552" w:rsidP="0062395E">
            <w:pPr>
              <w:rPr>
                <w:rFonts w:cs="Calibri"/>
                <w:sz w:val="20"/>
                <w:szCs w:val="20"/>
                <w:highlight w:val="green"/>
                <w:lang w:eastAsia="pl-PL"/>
              </w:rPr>
            </w:pPr>
            <w:r w:rsidRPr="006E469B">
              <w:rPr>
                <w:rFonts w:cs="Calibri"/>
                <w:sz w:val="20"/>
                <w:szCs w:val="20"/>
                <w:highlight w:val="green"/>
              </w:rPr>
              <w:t>Kolimatory  niskoenergetyczne, wysokiej rozdzielczości do np. 99mTc, typu: LEHR/LEHRS lub równoważne zgodnie z nomenklatura producenta (podać właściwą nazwę)  o czułości systemowej &gt; 200  cpm/µCi @ 10 cm (pomiary wg standardów NEMA z max.tolerancji  10%)  z minimalną rozdzielczością systemową przy 10cm ≤7,5 mm) - 2 szt. (po jednej sztuce do każdego z</w:t>
            </w:r>
            <w:r w:rsidRPr="006E469B">
              <w:rPr>
                <w:rFonts w:cs="Calibri"/>
                <w:sz w:val="20"/>
                <w:szCs w:val="20"/>
                <w:highlight w:val="green"/>
                <w:lang w:eastAsia="pl-PL"/>
              </w:rPr>
              <w:t xml:space="preserve"> detektorów)</w:t>
            </w:r>
          </w:p>
        </w:tc>
        <w:tc>
          <w:tcPr>
            <w:tcW w:w="1975" w:type="dxa"/>
            <w:vAlign w:val="center"/>
          </w:tcPr>
          <w:p w:rsidR="00775552" w:rsidRPr="0074453D" w:rsidRDefault="00775552" w:rsidP="00C43122">
            <w:pPr>
              <w:spacing w:line="276" w:lineRule="auto"/>
              <w:ind w:left="708" w:hanging="708"/>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Kolimatory wysokoenergetyczne ogólnego stosowania (HEGP) – 2 sztuki (po jednej sztuce do każdego z detektorów)</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Kolimator typu pinhole umożliwiający poprawną akwizycje min. 99mTc, 131-I</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xml:space="preserve">-   system dotykowy zabezpieczenia pacjenta (mata dotykowa) przed kolizją z płaszczyzną kolimatora pokrywa całą powierzchnię pola </w:t>
            </w:r>
            <w:r w:rsidRPr="0074453D">
              <w:rPr>
                <w:rFonts w:cs="Calibri"/>
                <w:sz w:val="20"/>
                <w:szCs w:val="20"/>
              </w:rPr>
              <w:lastRenderedPageBreak/>
              <w:t>widzenia, będąc integralną i nieodłączną częścią konstrukcją kolimatora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Żaden element systemu bezpieczeństwa nie zintegrowany z kolimatorem nie wymaga demontażu w przypadku jego wymiany (np. system detekcji kolizji ciała pacjenta w postaci bariery wiązki podczerwonej).</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03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Wózki na kolimatory, jeden dla każdego zestawu kolimatorów  (jeśli wszystkie lub przynajmniej jeden kolimator jest przechowywany na wózkach)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szuflad na przynajmniej jedną parę oferowanych kolimatorów LEHR (Low Energy High Resolution), eliminujący konieczność użycia wózka do ich zdejmowania i zakładania.</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1624"/>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0681B" w:rsidRDefault="00775552" w:rsidP="00507E93">
            <w:pPr>
              <w:rPr>
                <w:rFonts w:cs="Calibri"/>
                <w:strike/>
                <w:sz w:val="20"/>
                <w:szCs w:val="20"/>
                <w:highlight w:val="green"/>
              </w:rPr>
            </w:pPr>
            <w:r w:rsidRPr="00A0681B">
              <w:rPr>
                <w:rFonts w:cs="Calibri"/>
                <w:strike/>
                <w:sz w:val="20"/>
                <w:szCs w:val="20"/>
                <w:highlight w:val="green"/>
              </w:rPr>
              <w:t>Kolimatory dedykowane do badań kardiologicznych umożliwiające skrócenie akwizycji SPECT minimum do 5 min</w:t>
            </w:r>
          </w:p>
          <w:p w:rsidR="00775552" w:rsidRPr="00A0681B" w:rsidRDefault="00775552" w:rsidP="00507E93">
            <w:pPr>
              <w:rPr>
                <w:rFonts w:cs="Calibri"/>
                <w:strike/>
                <w:sz w:val="20"/>
                <w:szCs w:val="20"/>
                <w:highlight w:val="green"/>
              </w:rPr>
            </w:pPr>
            <w:r w:rsidRPr="00A0681B">
              <w:rPr>
                <w:rFonts w:cs="Calibri"/>
                <w:strike/>
                <w:sz w:val="20"/>
                <w:szCs w:val="20"/>
                <w:highlight w:val="green"/>
                <w:lang w:eastAsia="pl-PL"/>
              </w:rPr>
              <w:t xml:space="preserve">(dotyczy tylko </w:t>
            </w:r>
            <w:r w:rsidRPr="00A0681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green"/>
                <w:lang w:eastAsia="pl-PL"/>
              </w:rPr>
            </w:pPr>
            <w:r w:rsidRPr="00A0681B">
              <w:rPr>
                <w:rFonts w:cs="Calibri"/>
                <w:sz w:val="20"/>
                <w:szCs w:val="20"/>
                <w:highlight w:val="green"/>
                <w:lang w:eastAsia="pl-PL"/>
              </w:rPr>
              <w:t xml:space="preserve">Para kolimatorów kardiologicznych wysokoczułych ( o czułości powyżej 800 cpm/uCi) – do ultraszybkiej max. 5 minutowej akwizycji serca SPECT po orbicie kardio-centrycznej pod wzajemnym kątem &lt; 90º – przy zachowaniu jakości badania wykonywanego za pomocą standardowych kolimatorów LEHR w standardowym czasie 16 min. Zestaw wraz z oprogramowaniem do rekonstrukcji badań serca. (1 para kolimatorów </w:t>
            </w:r>
            <w:r w:rsidRPr="00A0681B">
              <w:rPr>
                <w:rFonts w:cs="Calibri"/>
                <w:sz w:val="20"/>
                <w:szCs w:val="20"/>
                <w:highlight w:val="green"/>
                <w:lang w:eastAsia="pl-PL"/>
              </w:rPr>
              <w:lastRenderedPageBreak/>
              <w:t xml:space="preserve">do każdej z gamma kamer) dotyczy tylko przypadku </w:t>
            </w:r>
            <w:r w:rsidR="00A521DF">
              <w:rPr>
                <w:rFonts w:cs="Calibri"/>
                <w:sz w:val="20"/>
                <w:szCs w:val="20"/>
                <w:highlight w:val="green"/>
                <w:lang w:eastAsia="pl-PL"/>
              </w:rPr>
              <w:t xml:space="preserve">technologii kamery klasycznej)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A0681B">
              <w:rPr>
                <w:rFonts w:cs="Calibri"/>
                <w:strike/>
                <w:sz w:val="20"/>
                <w:szCs w:val="20"/>
                <w:highlight w:val="green"/>
              </w:rPr>
              <w:t>2</w:t>
            </w:r>
            <w:r w:rsidRPr="00A068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hRule="exact" w:val="2277"/>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System posiadający mechanizm automatycznej lub półautomatycznej wymiany kolimatorów. </w:t>
            </w:r>
          </w:p>
          <w:p w:rsidR="00775552" w:rsidRPr="0074453D" w:rsidRDefault="00775552" w:rsidP="004957D7">
            <w:pP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gantry określonego zlecenia dla systemu.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386"/>
        </w:trPr>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Łózko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z w:val="20"/>
                <w:szCs w:val="20"/>
                <w:highlight w:val="green"/>
              </w:rPr>
              <w:sym w:font="Symbol" w:char="F0B3"/>
            </w:r>
            <w:r w:rsidRPr="00353531">
              <w:rPr>
                <w:rFonts w:cs="Calibri"/>
                <w:strike/>
                <w:sz w:val="20"/>
                <w:szCs w:val="20"/>
                <w:highlight w:val="green"/>
              </w:rPr>
              <w:t>200</w:t>
            </w:r>
            <w:r w:rsidRPr="00A521DF">
              <w:rPr>
                <w:rFonts w:cs="Calibri"/>
                <w:strike/>
                <w:sz w:val="20"/>
                <w:szCs w:val="20"/>
                <w:highlight w:val="green"/>
              </w:rPr>
              <w:t>,</w:t>
            </w:r>
            <w:r w:rsidRPr="00A521DF">
              <w:rPr>
                <w:rFonts w:cs="Calibri"/>
                <w:sz w:val="20"/>
                <w:szCs w:val="20"/>
                <w:highlight w:val="green"/>
              </w:rPr>
              <w:t xml:space="preserve"> </w:t>
            </w:r>
            <w:r w:rsidR="0098531C" w:rsidRPr="00A521DF">
              <w:rPr>
                <w:rFonts w:cs="Calibri"/>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660492">
            <w:pPr>
              <w:jc w:val="center"/>
              <w:rPr>
                <w:rFonts w:cs="Calibri"/>
                <w:sz w:val="20"/>
                <w:szCs w:val="20"/>
              </w:rPr>
            </w:pPr>
          </w:p>
        </w:tc>
        <w:tc>
          <w:tcPr>
            <w:tcW w:w="3260" w:type="dxa"/>
            <w:vAlign w:val="center"/>
          </w:tcPr>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66049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keV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43122">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C4BC96"/>
            <w:vAlign w:val="center"/>
          </w:tcPr>
          <w:p w:rsidR="00775552" w:rsidRPr="0074453D" w:rsidRDefault="00775552" w:rsidP="00C43122">
            <w:pPr>
              <w:pStyle w:val="Akapitzlist"/>
              <w:numPr>
                <w:ilvl w:val="0"/>
                <w:numId w:val="17"/>
              </w:numPr>
              <w:ind w:hanging="720"/>
              <w:rPr>
                <w:rFonts w:cs="Calibri"/>
                <w:sz w:val="20"/>
                <w:szCs w:val="20"/>
              </w:rPr>
            </w:pPr>
            <w:r w:rsidRPr="0074453D">
              <w:rPr>
                <w:rFonts w:cs="Calibri"/>
                <w:b/>
                <w:sz w:val="20"/>
                <w:szCs w:val="20"/>
              </w:rPr>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Rozmiar dostępnych ramek [piksele x piksele] minimum</w:t>
            </w:r>
            <w:r w:rsidRPr="0074453D">
              <w:rPr>
                <w:rFonts w:cs="Calibri"/>
                <w:sz w:val="20"/>
                <w:szCs w:val="20"/>
              </w:rPr>
              <w:br/>
              <w:t>64x64, 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Obszar obrazowany na scyntygramie min. 50 cm x 200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Odwzorowanie konturu pacjenta „on line” w trakcie akwizycji całego ciała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Funkcja śledzenia konturów pacjenta dla SPECT, aktywna zarówno dla ustawienia równoległego detektorów (180 stopni) jak i dla ustawienia detektorów pod kątem 90 stopni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step and shot (zatrzymanie i rejestracja ramki)</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continous (rejestracja ramek podczas ruchu gantry)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Acquire during step (rejestracja ramki podczas zatrzymania i obrotu gantry)</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lastRenderedPageBreak/>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akwizycyjna)System akwizycyjny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System akwizycyjny wraz z oprogramowaniem obsługujący gamma kamery i skanera CT, umożliwiający wykonywanie scyntygraficznych badań planarnych (statycznych i dynamicznych), SPECT, SPECT/CT ,bramkowanych SPECT (Gated-SPECT), badań scyntygraficznych całego ciała oraz badań spiralnych 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i CT, pracujący w systemie „dual-monitor” z 2 monitorami do zastosowań medycznych, każdy o przekątnej ekranu  ≥ 19”, z twardym dyskiem lub dyskami o łącznej pojemności fizycznej min. 2 TB.</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B4511B">
              <w:rPr>
                <w:rFonts w:cs="Calibri"/>
                <w:sz w:val="20"/>
                <w:szCs w:val="20"/>
                <w:highlight w:val="green"/>
                <w:lang w:eastAsia="pl-PL"/>
              </w:rPr>
              <w:t xml:space="preserve">Dostarczenie po uzyskaniu stosownych zezwoleń. Obowiązuje odbiór i </w:t>
            </w:r>
            <w:r w:rsidRPr="00B4511B">
              <w:rPr>
                <w:rFonts w:cs="Calibri"/>
                <w:sz w:val="20"/>
                <w:szCs w:val="20"/>
                <w:highlight w:val="green"/>
                <w:lang w:eastAsia="pl-PL"/>
              </w:rPr>
              <w:lastRenderedPageBreak/>
              <w:t xml:space="preserve">utylizacja zużytych źródeł przy ich wymianie na nowe.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w:t>
            </w:r>
            <w:r w:rsidR="00B4511B" w:rsidRPr="00B4511B">
              <w:rPr>
                <w:rFonts w:cs="Calibri"/>
                <w:sz w:val="20"/>
                <w:szCs w:val="20"/>
                <w:highlight w:val="green"/>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Pr="00B4511B">
              <w:rPr>
                <w:rFonts w:cs="Calibri"/>
                <w:strike/>
                <w:sz w:val="20"/>
                <w:szCs w:val="20"/>
                <w:highlight w:val="green"/>
              </w:rPr>
              <w:t>5</w:t>
            </w:r>
            <w:r w:rsidRPr="00B451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 xml:space="preserve">Nie – 0 pkt </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otrzymywanie listy roboczej</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zapytanie o badania</w:t>
            </w:r>
          </w:p>
          <w:p w:rsidR="00775552" w:rsidRPr="0074453D" w:rsidRDefault="00775552" w:rsidP="00C43122">
            <w:pPr>
              <w:numPr>
                <w:ilvl w:val="0"/>
                <w:numId w:val="1"/>
              </w:numPr>
              <w:suppressAutoHyphens/>
              <w:spacing w:after="0" w:line="276" w:lineRule="auto"/>
              <w:contextualSpacing/>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Wykonywanie kalibracji gammakamera przez użytkownika (kalibracja jednorodności bez kolimatora, kalibracja jednorodności z kolimatorem,  kalibracja centrum rotacji,  kalibracja okna energetycznego, kalibracja fotopowielaczy)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Wykonywanie kontroli jakości gamma kamery przez użytkownika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opracowywania danych SPECT / CT – jeden do obu aparatów; serwer oraz 4 stacje klienckie</w:t>
            </w:r>
          </w:p>
        </w:tc>
      </w:tr>
      <w:tr w:rsidR="00775552" w:rsidRPr="0074453D" w:rsidTr="00C43122">
        <w:trPr>
          <w:trHeight w:val="370"/>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Stacje robocze (opisowe) w technologii serwer/klient, zgodne z aktualnymi wymaganiami prawnymi (4 sztuki)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Stanowisko lekarskie dwumonitorowe - konsola kliencka serwera aplikacyjnego, każde wyposażone w:</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t xml:space="preserve">dwa kolorowe monitory diagnostyczne </w:t>
            </w:r>
            <w:r w:rsidR="00176DFC" w:rsidRPr="000F7D31">
              <w:rPr>
                <w:rFonts w:cs="Calibri"/>
                <w:sz w:val="20"/>
                <w:szCs w:val="20"/>
                <w:highlight w:val="green"/>
              </w:rPr>
              <w:t>(w standardzie CT)</w:t>
            </w:r>
            <w:r w:rsidR="00176DFC">
              <w:rPr>
                <w:rFonts w:cs="Calibri"/>
                <w:sz w:val="20"/>
                <w:szCs w:val="20"/>
              </w:rPr>
              <w:t xml:space="preserve"> </w:t>
            </w:r>
            <w:r w:rsidRPr="0074453D">
              <w:rPr>
                <w:rFonts w:cs="Calibri"/>
                <w:sz w:val="20"/>
                <w:szCs w:val="20"/>
              </w:rPr>
              <w:t xml:space="preserve">o przekątnej min. </w:t>
            </w:r>
            <w:r w:rsidRPr="002510B5">
              <w:rPr>
                <w:rFonts w:cs="Calibri"/>
                <w:strike/>
                <w:sz w:val="20"/>
                <w:szCs w:val="20"/>
                <w:highlight w:val="green"/>
              </w:rPr>
              <w:t>24”</w:t>
            </w:r>
            <w:r w:rsidRPr="002510B5">
              <w:rPr>
                <w:rFonts w:cs="Calibri"/>
                <w:sz w:val="20"/>
                <w:szCs w:val="20"/>
                <w:highlight w:val="green"/>
              </w:rPr>
              <w:t xml:space="preserve"> 23”</w:t>
            </w:r>
            <w:r w:rsidRPr="0074453D">
              <w:rPr>
                <w:rFonts w:cs="Calibri"/>
                <w:sz w:val="20"/>
                <w:szCs w:val="20"/>
              </w:rPr>
              <w:t xml:space="preserve"> (min rozdzielczości 1920 x 1200 pikseli)</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t>jeden monitor do opisów o przekątnej min. 19”, komputer PC wyposażony w min. 16 GB RAM, dysk SSD min. 250 GB</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Komunikacja sieciowa poprzez protokół DICOM  (wysyłanie i otrzymywanie badań oraz przechowywanie obrazów)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Oprogramowanie aplikacyjne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Realizacja rekonstrukcji typu FBP (Filter Back Projection), OSEM2D i OSEM3D oraz korekcji:  SC i AC na stacjach lekarskich lub na stacji akwizycyjnej skanerów</w:t>
            </w:r>
          </w:p>
        </w:tc>
        <w:tc>
          <w:tcPr>
            <w:tcW w:w="1975" w:type="dxa"/>
            <w:vAlign w:val="center"/>
          </w:tcPr>
          <w:p w:rsidR="00775552" w:rsidRPr="0074453D" w:rsidRDefault="00775552" w:rsidP="00B63E97">
            <w:pPr>
              <w:jc w:val="center"/>
              <w:rPr>
                <w:rFonts w:cs="Calibri"/>
                <w:sz w:val="20"/>
                <w:szCs w:val="20"/>
              </w:rPr>
            </w:pPr>
            <w:r w:rsidRPr="0074453D">
              <w:rPr>
                <w:rFonts w:cs="Calibri"/>
                <w:sz w:val="20"/>
                <w:szCs w:val="20"/>
              </w:rPr>
              <w:t>TAK, podać miejsce realizacji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D036C" w:rsidRDefault="00775552" w:rsidP="00AD036C">
            <w:pPr>
              <w:jc w:val="both"/>
              <w:rPr>
                <w:lang w:eastAsia="pl-PL"/>
              </w:rPr>
            </w:pPr>
            <w:r w:rsidRPr="00AD036C">
              <w:rPr>
                <w:rFonts w:cs="Calibri"/>
                <w:sz w:val="20"/>
                <w:szCs w:val="20"/>
              </w:rPr>
              <w:t xml:space="preserve">Oprogramowanie aplikacyjne do opracowania wszystkich badań diagnostycznych z zakresu scyntygrafii i SPECT/CT wykonywanych w Zakładzie, z możliwością tworzenia raportów z ich opisami. </w:t>
            </w:r>
            <w:r w:rsidRPr="002510B5">
              <w:rPr>
                <w:rFonts w:cs="Calibri"/>
                <w:sz w:val="20"/>
                <w:szCs w:val="20"/>
                <w:highlight w:val="green"/>
              </w:rPr>
              <w:t xml:space="preserve">Lista badań </w:t>
            </w:r>
            <w:r w:rsidRPr="002510B5">
              <w:rPr>
                <w:highlight w:val="green"/>
                <w:lang w:eastAsia="pl-PL"/>
              </w:rPr>
              <w:t xml:space="preserve">określona jest w </w:t>
            </w:r>
            <w:r w:rsidRPr="002510B5">
              <w:rPr>
                <w:rFonts w:cs="Arial"/>
                <w:color w:val="333333"/>
                <w:sz w:val="20"/>
                <w:szCs w:val="20"/>
                <w:highlight w:val="green"/>
                <w:shd w:val="clear" w:color="auto" w:fill="FFFFFF"/>
              </w:rPr>
              <w:t>Obwieszczeniu Ministra</w:t>
            </w:r>
            <w:r w:rsidR="00033C2D" w:rsidRPr="002510B5">
              <w:rPr>
                <w:rFonts w:cs="Arial"/>
                <w:color w:val="333333"/>
                <w:sz w:val="20"/>
                <w:szCs w:val="20"/>
                <w:highlight w:val="green"/>
                <w:shd w:val="clear" w:color="auto" w:fill="FFFFFF"/>
              </w:rPr>
              <w:t xml:space="preserve"> Zdrowia z dnia 22 grudnia 2014 </w:t>
            </w:r>
            <w:r w:rsidRPr="002510B5">
              <w:rPr>
                <w:rFonts w:cs="Arial"/>
                <w:color w:val="333333"/>
                <w:sz w:val="20"/>
                <w:szCs w:val="20"/>
                <w:highlight w:val="green"/>
                <w:shd w:val="clear" w:color="auto" w:fill="FFFFFF"/>
              </w:rPr>
              <w:t>r. w sprawie ogłoszenia wykazu wzorcowych procedur radiologicznych z zakresu medycyny nuklearnej (Dz. Urz. Min. Zdrow. z 2014 r., poz. 82)</w:t>
            </w:r>
          </w:p>
          <w:p w:rsidR="00775552" w:rsidRPr="0074453D" w:rsidRDefault="00775552" w:rsidP="001C3FC0">
            <w:pPr>
              <w:rPr>
                <w:rFonts w:cs="Calibri"/>
                <w:sz w:val="20"/>
                <w:szCs w:val="20"/>
              </w:rPr>
            </w:pPr>
            <w:r w:rsidRPr="0074453D">
              <w:rPr>
                <w:rFonts w:cs="Calibri"/>
                <w:sz w:val="20"/>
                <w:szCs w:val="20"/>
              </w:rPr>
              <w:t>Automatyczny/ręczny import badań poprzednich z archiwum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typ importu</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Import automatyczny: 1</w:t>
            </w:r>
            <w:r w:rsidR="00245625">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Import ręczny: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zaawansowaną wizualizację trójwymiarową (3D ) dla SPECT, CT i fuzji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rejestrację (fuzję) obrazów z zakresu medycyny nuklearnej oraz obrazów CT lub MR (Rejestracja automatyczna oraz z możliwością interwencji użytkownika)</w:t>
            </w:r>
          </w:p>
          <w:p w:rsidR="00775552" w:rsidRPr="0074453D" w:rsidRDefault="00775552" w:rsidP="001C3FC0">
            <w:pPr>
              <w:rPr>
                <w:rFonts w:cs="Calibri"/>
                <w:sz w:val="20"/>
                <w:szCs w:val="20"/>
              </w:rPr>
            </w:pPr>
            <w:r w:rsidRPr="0074453D">
              <w:rPr>
                <w:rFonts w:cs="Calibri"/>
                <w:sz w:val="20"/>
                <w:szCs w:val="20"/>
              </w:rPr>
              <w:t>Automatyczna synchronizacja wyświetlanych serii badania niezależna od grubości warstw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Środowisko programistyczne dające użytkownikowi możliwość tworzenia własnych protokołów opracowania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622FA9">
            <w:pPr>
              <w:rPr>
                <w:rFonts w:cs="Calibri"/>
                <w:sz w:val="20"/>
                <w:szCs w:val="20"/>
              </w:rPr>
            </w:pPr>
            <w:r w:rsidRPr="0074453D">
              <w:rPr>
                <w:rFonts w:cs="Calibri"/>
                <w:sz w:val="20"/>
                <w:szCs w:val="20"/>
              </w:rPr>
              <w:t xml:space="preserve">Oprogramowanie do oceny ilościowej: Pakiet oprogramowania do oceny wychwytu radioznacznika (także dla izotopów innych niż </w:t>
            </w:r>
            <w:r w:rsidRPr="0074453D">
              <w:rPr>
                <w:rFonts w:cs="Calibri"/>
                <w:sz w:val="20"/>
                <w:szCs w:val="20"/>
                <w:vertAlign w:val="superscript"/>
              </w:rPr>
              <w:t>99m</w:t>
            </w:r>
            <w:r w:rsidRPr="0074453D">
              <w:rPr>
                <w:rFonts w:cs="Calibri"/>
                <w:sz w:val="20"/>
                <w:szCs w:val="20"/>
              </w:rPr>
              <w:t xml:space="preserve">Tc, minimum </w:t>
            </w:r>
            <w:r w:rsidRPr="0074453D">
              <w:rPr>
                <w:rFonts w:cs="Calibri"/>
                <w:sz w:val="20"/>
                <w:szCs w:val="20"/>
                <w:vertAlign w:val="superscript"/>
              </w:rPr>
              <w:t>201</w:t>
            </w:r>
            <w:r w:rsidRPr="0074453D">
              <w:rPr>
                <w:rFonts w:cs="Calibri"/>
                <w:sz w:val="20"/>
                <w:szCs w:val="20"/>
              </w:rPr>
              <w:t xml:space="preserve">Tl, </w:t>
            </w:r>
            <w:r w:rsidRPr="0074453D">
              <w:rPr>
                <w:rFonts w:cs="Calibri"/>
                <w:sz w:val="20"/>
                <w:szCs w:val="20"/>
                <w:vertAlign w:val="superscript"/>
              </w:rPr>
              <w:t>111</w:t>
            </w:r>
            <w:r w:rsidRPr="0074453D">
              <w:rPr>
                <w:rFonts w:cs="Calibri"/>
                <w:sz w:val="20"/>
                <w:szCs w:val="20"/>
              </w:rPr>
              <w:t xml:space="preserve">In, </w:t>
            </w:r>
            <w:r w:rsidRPr="0074453D">
              <w:rPr>
                <w:rFonts w:cs="Calibri"/>
                <w:sz w:val="20"/>
                <w:szCs w:val="20"/>
                <w:vertAlign w:val="superscript"/>
              </w:rPr>
              <w:t>123</w:t>
            </w:r>
            <w:r w:rsidRPr="0074453D">
              <w:rPr>
                <w:rFonts w:cs="Calibri"/>
                <w:sz w:val="20"/>
                <w:szCs w:val="20"/>
              </w:rPr>
              <w:t xml:space="preserve">I, </w:t>
            </w:r>
            <w:r w:rsidRPr="0074453D">
              <w:rPr>
                <w:rFonts w:cs="Calibri"/>
                <w:sz w:val="20"/>
                <w:szCs w:val="20"/>
                <w:vertAlign w:val="superscript"/>
              </w:rPr>
              <w:t>131</w:t>
            </w:r>
            <w:r w:rsidRPr="0074453D">
              <w:rPr>
                <w:rFonts w:cs="Calibri"/>
                <w:sz w:val="20"/>
                <w:szCs w:val="20"/>
              </w:rPr>
              <w:t xml:space="preserve">I, and </w:t>
            </w:r>
            <w:r w:rsidRPr="0074453D">
              <w:rPr>
                <w:rFonts w:cs="Calibri"/>
                <w:sz w:val="20"/>
                <w:szCs w:val="20"/>
                <w:vertAlign w:val="superscript"/>
              </w:rPr>
              <w:t>67</w:t>
            </w:r>
            <w:r w:rsidRPr="0074453D">
              <w:rPr>
                <w:rFonts w:cs="Calibri"/>
                <w:sz w:val="20"/>
                <w:szCs w:val="20"/>
              </w:rPr>
              <w:t xml:space="preserve">Ga) w zmianach chorobowych lub </w:t>
            </w:r>
            <w:r w:rsidRPr="0074453D">
              <w:rPr>
                <w:rFonts w:cs="Calibri"/>
                <w:sz w:val="20"/>
                <w:szCs w:val="20"/>
              </w:rPr>
              <w:lastRenderedPageBreak/>
              <w:t>dowolnych narządach. Automatyczna segmentacja obrazów SPECT i CT w oparciu o próg liczby zliczeń oraz liczby Hounsfielda (HU) dla określenia obszarów zainteresowania i obliczenia objętości zainteresowania do pomiarów wychwytu fizjologicznego i patologicznego znacznika (izotopu). W rezultacie uzyskanie  wartości SPECT, która pozwala monitorować odpowiedź na leczenie zmian w pojedynczym badaniu a także pozwala na porównanie badań wykonanych w odstępie czasu (follow-up)</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55062">
            <w:pPr>
              <w:rPr>
                <w:rFonts w:cs="Calibri"/>
                <w:sz w:val="20"/>
                <w:szCs w:val="20"/>
              </w:rPr>
            </w:pPr>
            <w:r w:rsidRPr="0074453D">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w:t>
            </w:r>
            <w:r w:rsidRPr="00071086">
              <w:rPr>
                <w:rFonts w:cs="Calibri"/>
                <w:strike/>
                <w:sz w:val="20"/>
                <w:szCs w:val="20"/>
                <w:highlight w:val="green"/>
              </w:rPr>
              <w:t>3) zmiany parametrów rekonstrukcji w trakcie analizy badań</w:t>
            </w:r>
            <w:r w:rsidRPr="00071086">
              <w:rPr>
                <w:rFonts w:cs="Calibri"/>
                <w:sz w:val="20"/>
                <w:szCs w:val="20"/>
                <w:highlight w:val="green"/>
              </w:rPr>
              <w:t>;</w:t>
            </w:r>
            <w:r w:rsidRPr="0074453D">
              <w:rPr>
                <w:rFonts w:cs="Calibri"/>
                <w:sz w:val="20"/>
                <w:szCs w:val="20"/>
              </w:rPr>
              <w:t xml:space="preserve"> 4) kontrola jakości nałożenia badań SPECT na CT. Oprogramowanie powinno dokonywać automatycznej analizy poprzez ocenę wychwytu radiofarmaceutyku i porównywać wartości do odpowiadającej bazy normatywnej (minimum HMPAO, ECD). Analiza obrazu odbywać się powinna poprzez wystandaryzowanie osobniczego kształtu mózgu badanego pacjenta do standardowego atlasu przy zachowaniu pełnych informacji uzyskanych z badania SPECT. Możliwości dopasowania badania SPECT do badań MR oraz ich fuzji powinny umożliwiać powiązanie danych funkcjonalnych z anatomicznymi oraz uwidocznienie zmian strukturalnych. Możliwość wyświetlenia wyników w postaci 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w:t>
            </w:r>
            <w:r w:rsidRPr="0074453D">
              <w:rPr>
                <w:rFonts w:cs="Calibri"/>
                <w:sz w:val="20"/>
                <w:szCs w:val="20"/>
              </w:rPr>
              <w:lastRenderedPageBreak/>
              <w:t>takie jak udar, przewlekłe i nagłe niedokrwienia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07497">
            <w:pPr>
              <w:snapToGrid w:val="0"/>
              <w:spacing w:line="276" w:lineRule="auto"/>
              <w:contextualSpacing/>
              <w:rPr>
                <w:rFonts w:cs="Calibri"/>
                <w:sz w:val="20"/>
                <w:szCs w:val="20"/>
              </w:rPr>
            </w:pPr>
            <w:r w:rsidRPr="0074453D">
              <w:rPr>
                <w:rFonts w:cs="Calibri"/>
                <w:sz w:val="20"/>
                <w:szCs w:val="20"/>
              </w:rPr>
              <w:t>Oprogramowanie umożliwiające przetwarzanie i analizę wolumetryczną badań płuc z systemów SPECT i hybrydowych SPECT/CT, zapewniające: 1) automatyczną rejestrację oraz fuzję badań perfuzyjnych/wentylacyjnych/CT oraz CT angio płuc; 2) segmentację struktury dwóch i trzech płatów płucnych w oparciu o obraz CT przez wykreślenie trzech linii granicznych płatów na obrazie CT; 3) korekcja klirensu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powinno dawać lekarzowi możliwość diagnozy zatoru tętnicy płucnej. Powinno zapewniać ocenę funkcji w płatach oraz całym obszarze płuc w przedoperacyjnym prognozowaniu wydolności oddechowej płuc po lobektomii i pneunomektomii.</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 NIE, Podać</w:t>
            </w:r>
            <w:r w:rsidR="000070F6">
              <w:rPr>
                <w:rFonts w:cs="Calibri"/>
                <w:sz w:val="20"/>
                <w:szCs w:val="20"/>
              </w:rPr>
              <w:t xml:space="preserve"> </w:t>
            </w:r>
            <w:r w:rsidR="000070F6" w:rsidRPr="000070F6">
              <w:rPr>
                <w:rFonts w:cs="Calibri"/>
                <w:sz w:val="20"/>
                <w:szCs w:val="20"/>
                <w:highlight w:val="green"/>
              </w:rPr>
              <w:t>(w szczególności podać funkcjonalności)</w:t>
            </w:r>
          </w:p>
        </w:tc>
        <w:tc>
          <w:tcPr>
            <w:tcW w:w="3128" w:type="dxa"/>
            <w:vAlign w:val="center"/>
          </w:tcPr>
          <w:p w:rsidR="00775552" w:rsidRPr="00307497" w:rsidRDefault="00775552" w:rsidP="00C43122">
            <w:pPr>
              <w:jc w:val="center"/>
              <w:rPr>
                <w:rFonts w:cs="Calibri"/>
                <w:sz w:val="20"/>
                <w:szCs w:val="20"/>
              </w:rPr>
            </w:pPr>
          </w:p>
        </w:tc>
        <w:tc>
          <w:tcPr>
            <w:tcW w:w="3260" w:type="dxa"/>
            <w:vAlign w:val="center"/>
          </w:tcPr>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TAK – 10 pkt</w:t>
            </w:r>
          </w:p>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NIE – 0 pkt</w:t>
            </w:r>
          </w:p>
          <w:p w:rsidR="00775552" w:rsidRPr="000070F6" w:rsidRDefault="000070F6" w:rsidP="00307497">
            <w:pPr>
              <w:jc w:val="both"/>
              <w:rPr>
                <w:rFonts w:cs="Calibri"/>
                <w:sz w:val="20"/>
                <w:szCs w:val="20"/>
                <w:highlight w:val="green"/>
                <w:lang w:eastAsia="pl-PL"/>
              </w:rPr>
            </w:pPr>
            <w:r w:rsidRPr="000070F6">
              <w:rPr>
                <w:rFonts w:cs="Calibri"/>
                <w:sz w:val="20"/>
                <w:szCs w:val="20"/>
                <w:highlight w:val="green"/>
                <w:lang w:eastAsia="pl-PL"/>
              </w:rPr>
              <w:t xml:space="preserve">TAK (Zaoferowanie aplikacji z wszystkimi funkcjonalności z ppkt 1-9) – 10 pkt </w:t>
            </w:r>
          </w:p>
          <w:p w:rsidR="00775552" w:rsidRPr="007C6EC8" w:rsidRDefault="000070F6" w:rsidP="00307497">
            <w:pPr>
              <w:jc w:val="both"/>
              <w:rPr>
                <w:rFonts w:cs="Calibri"/>
                <w:sz w:val="20"/>
                <w:szCs w:val="20"/>
                <w:highlight w:val="green"/>
                <w:lang w:eastAsia="pl-PL"/>
              </w:rPr>
            </w:pPr>
            <w:r w:rsidRPr="007C6EC8">
              <w:rPr>
                <w:rFonts w:cs="Calibri"/>
                <w:sz w:val="20"/>
                <w:szCs w:val="20"/>
                <w:highlight w:val="green"/>
                <w:lang w:eastAsia="pl-PL"/>
              </w:rPr>
              <w:t>TAK (Zaoferowanie aplikacji z funkcjonalności</w:t>
            </w:r>
            <w:r w:rsidR="00126214">
              <w:rPr>
                <w:rFonts w:cs="Calibri"/>
                <w:sz w:val="20"/>
                <w:szCs w:val="20"/>
                <w:highlight w:val="green"/>
                <w:lang w:eastAsia="pl-PL"/>
              </w:rPr>
              <w:t>ami</w:t>
            </w:r>
            <w:r w:rsidRPr="007C6EC8">
              <w:rPr>
                <w:rFonts w:cs="Calibri"/>
                <w:sz w:val="20"/>
                <w:szCs w:val="20"/>
                <w:highlight w:val="green"/>
                <w:lang w:eastAsia="pl-PL"/>
              </w:rPr>
              <w:t xml:space="preserve"> z ppkt. 1-9  </w:t>
            </w:r>
            <w:r w:rsidR="007C6EC8" w:rsidRPr="007C6EC8">
              <w:rPr>
                <w:rFonts w:cs="Calibri"/>
                <w:sz w:val="20"/>
                <w:szCs w:val="20"/>
                <w:highlight w:val="green"/>
                <w:lang w:eastAsia="pl-PL"/>
              </w:rPr>
              <w:t xml:space="preserve">oprócz chociażby </w:t>
            </w:r>
            <w:r w:rsidR="001E16EE" w:rsidRPr="007C6EC8">
              <w:rPr>
                <w:rFonts w:cs="Calibri"/>
                <w:sz w:val="20"/>
                <w:szCs w:val="20"/>
                <w:highlight w:val="green"/>
                <w:lang w:eastAsia="pl-PL"/>
              </w:rPr>
              <w:t xml:space="preserve">jednej z </w:t>
            </w:r>
            <w:r w:rsidR="00775552" w:rsidRPr="007C6EC8">
              <w:rPr>
                <w:rFonts w:cs="Calibri"/>
                <w:sz w:val="20"/>
                <w:szCs w:val="20"/>
                <w:highlight w:val="green"/>
                <w:lang w:eastAsia="pl-PL"/>
              </w:rPr>
              <w:t>funkcjonalności z ppkt.</w:t>
            </w:r>
            <w:r w:rsidRPr="007C6EC8">
              <w:rPr>
                <w:rFonts w:cs="Calibri"/>
                <w:sz w:val="20"/>
                <w:szCs w:val="20"/>
                <w:highlight w:val="green"/>
                <w:lang w:eastAsia="pl-PL"/>
              </w:rPr>
              <w:t xml:space="preserve"> </w:t>
            </w:r>
            <w:r w:rsidR="007C6EC8" w:rsidRPr="007C6EC8">
              <w:rPr>
                <w:rFonts w:cs="Calibri"/>
                <w:sz w:val="20"/>
                <w:szCs w:val="20"/>
                <w:highlight w:val="green"/>
                <w:lang w:eastAsia="pl-PL"/>
              </w:rPr>
              <w:t>3,</w:t>
            </w:r>
            <w:r w:rsidR="00775552" w:rsidRPr="007C6EC8">
              <w:rPr>
                <w:rFonts w:cs="Calibri"/>
                <w:sz w:val="20"/>
                <w:szCs w:val="20"/>
                <w:highlight w:val="green"/>
                <w:lang w:eastAsia="pl-PL"/>
              </w:rPr>
              <w:t xml:space="preserve"> ppk</w:t>
            </w:r>
            <w:r w:rsidRPr="007C6EC8">
              <w:rPr>
                <w:rFonts w:cs="Calibri"/>
                <w:sz w:val="20"/>
                <w:szCs w:val="20"/>
                <w:highlight w:val="green"/>
                <w:lang w:eastAsia="pl-PL"/>
              </w:rPr>
              <w:t>t</w:t>
            </w:r>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C6EC8" w:rsidRPr="007C6EC8">
              <w:rPr>
                <w:rFonts w:cs="Calibri"/>
                <w:sz w:val="20"/>
                <w:szCs w:val="20"/>
                <w:highlight w:val="green"/>
                <w:lang w:eastAsia="pl-PL"/>
              </w:rPr>
              <w:t>5,</w:t>
            </w:r>
            <w:r w:rsidR="00775552" w:rsidRPr="007C6EC8">
              <w:rPr>
                <w:rFonts w:cs="Calibri"/>
                <w:sz w:val="20"/>
                <w:szCs w:val="20"/>
                <w:highlight w:val="green"/>
                <w:lang w:eastAsia="pl-PL"/>
              </w:rPr>
              <w:t xml:space="preserve"> ppkt.</w:t>
            </w:r>
            <w:r w:rsidRPr="007C6EC8">
              <w:rPr>
                <w:rFonts w:cs="Calibri"/>
                <w:sz w:val="20"/>
                <w:szCs w:val="20"/>
                <w:highlight w:val="green"/>
                <w:lang w:eastAsia="pl-PL"/>
              </w:rPr>
              <w:t xml:space="preserve"> </w:t>
            </w:r>
            <w:r w:rsidR="00775552" w:rsidRPr="007C6EC8">
              <w:rPr>
                <w:rFonts w:cs="Calibri"/>
                <w:sz w:val="20"/>
                <w:szCs w:val="20"/>
                <w:highlight w:val="green"/>
                <w:lang w:eastAsia="pl-PL"/>
              </w:rPr>
              <w:t>9</w:t>
            </w:r>
            <w:r w:rsidRPr="007C6EC8">
              <w:rPr>
                <w:rFonts w:cs="Calibri"/>
                <w:sz w:val="20"/>
                <w:szCs w:val="20"/>
                <w:highlight w:val="green"/>
                <w:lang w:eastAsia="pl-PL"/>
              </w:rPr>
              <w:t>)</w:t>
            </w:r>
            <w:r w:rsidR="00775552" w:rsidRPr="007C6EC8">
              <w:rPr>
                <w:rFonts w:cs="Calibri"/>
                <w:sz w:val="20"/>
                <w:szCs w:val="20"/>
                <w:highlight w:val="green"/>
                <w:lang w:eastAsia="pl-PL"/>
              </w:rPr>
              <w:t xml:space="preserve"> – 6 pkt </w:t>
            </w:r>
          </w:p>
          <w:p w:rsidR="00775552" w:rsidRPr="00307497" w:rsidRDefault="00775552" w:rsidP="00307497">
            <w:pPr>
              <w:jc w:val="both"/>
              <w:rPr>
                <w:rFonts w:cs="Calibri"/>
                <w:sz w:val="20"/>
                <w:szCs w:val="20"/>
                <w:lang w:eastAsia="pl-PL"/>
              </w:rPr>
            </w:pPr>
            <w:r w:rsidRPr="000070F6">
              <w:rPr>
                <w:rFonts w:cs="Calibri"/>
                <w:sz w:val="20"/>
                <w:szCs w:val="20"/>
                <w:highlight w:val="green"/>
                <w:lang w:eastAsia="pl-PL"/>
              </w:rPr>
              <w:t>NIE – 0 pkt</w:t>
            </w:r>
          </w:p>
          <w:p w:rsidR="00775552" w:rsidRPr="00307497"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bookmarkStart w:id="1" w:name="_Hlk496001360"/>
            <w:r w:rsidRPr="0074453D">
              <w:rPr>
                <w:rFonts w:cs="Calibri"/>
                <w:sz w:val="20"/>
                <w:szCs w:val="20"/>
              </w:rPr>
              <w:t xml:space="preserve">Oprogramowanie dające możliwość oceny wizualnej i ilościowej obrazów 123I-ioflupane, porównanie ich do bazy normatywnej. Oprogramowania powinno wspomagać wykrywanie ubytków w funkcji </w:t>
            </w:r>
            <w:r w:rsidRPr="0074453D">
              <w:rPr>
                <w:rFonts w:cs="Calibri"/>
                <w:sz w:val="20"/>
                <w:szCs w:val="20"/>
              </w:rPr>
              <w:lastRenderedPageBreak/>
              <w:t>układu dopaminergicznego struktur prążkowia, które powiązane są z chorobą Parkinsona</w:t>
            </w:r>
            <w:bookmarkEnd w:id="1"/>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508E2">
            <w:pPr>
              <w:rPr>
                <w:rFonts w:cs="Calibri"/>
                <w:sz w:val="20"/>
                <w:szCs w:val="20"/>
              </w:rPr>
            </w:pPr>
            <w:r w:rsidRPr="0074453D">
              <w:rPr>
                <w:rFonts w:cs="Calibri"/>
                <w:sz w:val="20"/>
                <w:szCs w:val="20"/>
              </w:rPr>
              <w:t xml:space="preserve">Możliwość zmiany parametrów rekonstrukcyjnych na stacji opisowej (rodzaj rekonstrukcji, liczba iteracji, liczba subset’ów, filtry, rekonstrukcja z korekcją rozproszeń / bez korekcji, z korekcją atenuacji / bez korekcji) dostępne bezpośrednio z aplikacji klinicznych bez zamykania otwartego badania danego pacjenta </w:t>
            </w:r>
            <w:r w:rsidRPr="00071086">
              <w:rPr>
                <w:rFonts w:cs="Calibri"/>
                <w:sz w:val="20"/>
                <w:szCs w:val="20"/>
                <w:highlight w:val="green"/>
                <w:lang w:eastAsia="pl-PL"/>
              </w:rPr>
              <w:t>– dostępne na stacji akwizycyjnej lub stacji opisowej.</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4249E">
            <w:pPr>
              <w:rPr>
                <w:rFonts w:cs="Calibri"/>
                <w:sz w:val="20"/>
                <w:szCs w:val="20"/>
              </w:rPr>
            </w:pPr>
            <w:r w:rsidRPr="0074453D">
              <w:rPr>
                <w:rFonts w:cs="Calibri"/>
                <w:sz w:val="20"/>
                <w:szCs w:val="20"/>
              </w:rPr>
              <w:t>Analiza ilościowa badań SPECT, SPECT/CT perfuzji  serca ( w tym bramkowany SPECT serca) wr</w:t>
            </w:r>
            <w:r w:rsidR="0044249E">
              <w:rPr>
                <w:rFonts w:cs="Calibri"/>
                <w:sz w:val="20"/>
                <w:szCs w:val="20"/>
              </w:rPr>
              <w:t>az z normatywnymi bazami danych,</w:t>
            </w:r>
            <w:r w:rsidR="007F1585">
              <w:rPr>
                <w:rFonts w:cs="Calibri"/>
                <w:sz w:val="20"/>
                <w:szCs w:val="20"/>
              </w:rPr>
              <w:t xml:space="preserve"> </w:t>
            </w:r>
            <w:r w:rsidR="007F1585" w:rsidRPr="0044249E">
              <w:rPr>
                <w:rFonts w:asciiTheme="minorHAnsi" w:hAnsiTheme="minorHAnsi" w:cstheme="minorHAnsi"/>
                <w:sz w:val="20"/>
                <w:szCs w:val="20"/>
                <w:highlight w:val="green"/>
              </w:rPr>
              <w:t xml:space="preserve">np. za pośrednictwem </w:t>
            </w:r>
            <w:r w:rsidR="007F1585" w:rsidRPr="0044249E">
              <w:rPr>
                <w:rFonts w:asciiTheme="minorHAnsi" w:hAnsiTheme="minorHAnsi" w:cstheme="minorHAnsi"/>
                <w:sz w:val="20"/>
                <w:szCs w:val="20"/>
                <w:highlight w:val="green"/>
                <w:lang w:eastAsia="pl-PL"/>
              </w:rPr>
              <w:t xml:space="preserve">oprogramowania klasy Corridor4DM lub równoważnego zgodnie z nomenklatura producenta, </w:t>
            </w:r>
            <w:r w:rsidR="0044249E">
              <w:rPr>
                <w:rFonts w:asciiTheme="minorHAnsi" w:hAnsiTheme="minorHAnsi" w:cstheme="minorHAnsi"/>
                <w:sz w:val="20"/>
                <w:szCs w:val="20"/>
                <w:highlight w:val="green"/>
                <w:lang w:eastAsia="pl-PL"/>
              </w:rPr>
              <w:t>gdzie n</w:t>
            </w:r>
            <w:r w:rsidR="007F1585" w:rsidRPr="0044249E">
              <w:rPr>
                <w:rFonts w:cs="Calibri"/>
                <w:sz w:val="20"/>
                <w:szCs w:val="20"/>
                <w:highlight w:val="green"/>
              </w:rPr>
              <w:t xml:space="preserve">ormy </w:t>
            </w:r>
            <w:r w:rsidR="007F1585" w:rsidRPr="0044249E">
              <w:rPr>
                <w:rFonts w:asciiTheme="minorHAnsi" w:hAnsiTheme="minorHAnsi" w:cstheme="minorHAnsi"/>
                <w:sz w:val="20"/>
                <w:szCs w:val="20"/>
                <w:highlight w:val="green"/>
              </w:rPr>
              <w:t>mają być związane z badaniami wykonywanymi na oferowanym urządzeniu i metodami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ilościowa bramkowanych badań techniką planarną i SPECT (wentrykulografia)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frakcji wyrzutowej woreczka żółciowego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Analiza ilościowa scyntygrafii perfuzyjnej i wentylacyjnej płuc technika planarną</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Uniwersalne narzędzia do ilościowej analizy badań planarnych, SPECT, SPECT/CT). Arytmetyka ROI, VOI, FWHM, tworzenie histogramu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lang w:eastAsia="pl-PL"/>
              </w:rPr>
            </w:pPr>
            <w:r w:rsidRPr="0074453D">
              <w:rPr>
                <w:rFonts w:cs="Calibri"/>
                <w:sz w:val="20"/>
                <w:szCs w:val="20"/>
                <w:lang w:eastAsia="pl-PL"/>
              </w:rPr>
              <w:t xml:space="preserve">Rekonstrukcja badań planarnych z zastosowaniem oprogramowania typu „Resolution Recovery". Umożliwiające skrócenie czasu badania lub zmniejszenia  aktywności radiofarmaceutyku podanej pacjentowi </w:t>
            </w:r>
            <w:r w:rsidRPr="00071086">
              <w:rPr>
                <w:rFonts w:cs="Calibri"/>
                <w:sz w:val="20"/>
                <w:szCs w:val="20"/>
                <w:highlight w:val="green"/>
                <w:lang w:eastAsia="pl-PL"/>
              </w:rPr>
              <w:t>– 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957D7">
            <w:pPr>
              <w:rPr>
                <w:rFonts w:cs="Calibri"/>
                <w:color w:val="000000"/>
                <w:sz w:val="20"/>
                <w:szCs w:val="20"/>
                <w:lang w:eastAsia="pl-PL"/>
              </w:rPr>
            </w:pPr>
            <w:r w:rsidRPr="0074453D">
              <w:rPr>
                <w:rFonts w:cs="Calibri"/>
                <w:color w:val="000000"/>
                <w:sz w:val="20"/>
                <w:szCs w:val="20"/>
                <w:lang w:eastAsia="pl-PL"/>
              </w:rPr>
              <w:t xml:space="preserve">Rekonstrukcja badań SPECT, SPECT/CT dedykowanych do akwizycji  opcjonalnych zaoferowanych </w:t>
            </w:r>
            <w:r w:rsidRPr="00071086">
              <w:rPr>
                <w:rFonts w:cs="Calibri"/>
                <w:color w:val="000000"/>
                <w:sz w:val="20"/>
                <w:szCs w:val="20"/>
                <w:lang w:eastAsia="pl-PL"/>
              </w:rPr>
              <w:t xml:space="preserve">przez oferenta </w:t>
            </w:r>
            <w:r w:rsidRPr="00071086">
              <w:rPr>
                <w:rFonts w:cs="Calibri"/>
                <w:sz w:val="20"/>
                <w:szCs w:val="20"/>
                <w:highlight w:val="green"/>
                <w:lang w:eastAsia="pl-PL"/>
              </w:rPr>
              <w:t>– 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wizualizacji VRT dla fuzji SPECT/CT – minimum na jednej stacji roboczej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1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Ocena opróżniania żołądka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Pełna analiza badań renograficznych (udziały, dekonwolucja, czasy przejścia, GFR, ERPF)</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funkcji wątroby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wychwytu tarczycy (99mTc i 131I) i ocena przytarczyc (subtrakcja)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kompatybilne z funkcjonującym w Klinice systemem informatycznym, programami RIS, PACS oraz innymi stacjami roboczymi.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narzędziami eksportu obrazów w graficznych formatach (JPEG, AVI)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333BEE" w:rsidRDefault="00775552" w:rsidP="007F1585">
            <w:pPr>
              <w:rPr>
                <w:rFonts w:asciiTheme="minorHAnsi" w:hAnsiTheme="minorHAnsi"/>
                <w:strike/>
                <w:sz w:val="20"/>
                <w:szCs w:val="20"/>
                <w:lang w:eastAsia="pl-PL"/>
              </w:rPr>
            </w:pPr>
            <w:r w:rsidRPr="00333BEE">
              <w:rPr>
                <w:rFonts w:cs="Calibri"/>
                <w:strike/>
                <w:sz w:val="20"/>
                <w:szCs w:val="20"/>
              </w:rPr>
              <w:t>Aplikacja/opcja w aplikacji do dozymetrii wewnętrznej pacjenta dedy</w:t>
            </w:r>
            <w:r w:rsidR="007C0837" w:rsidRPr="00333BEE">
              <w:rPr>
                <w:rFonts w:cs="Calibri"/>
                <w:strike/>
                <w:sz w:val="20"/>
                <w:szCs w:val="20"/>
              </w:rPr>
              <w:t>kowanej dla medycyny nuklearnej</w:t>
            </w:r>
            <w:r w:rsidR="00333BEE" w:rsidRPr="00333BEE">
              <w:rPr>
                <w:rFonts w:cs="Calibri"/>
                <w:strike/>
                <w:sz w:val="20"/>
                <w:szCs w:val="20"/>
              </w:rPr>
              <w:t>.</w:t>
            </w:r>
          </w:p>
          <w:p w:rsidR="000B630F" w:rsidRPr="00333BEE" w:rsidRDefault="000B630F" w:rsidP="000B630F">
            <w:pPr>
              <w:rPr>
                <w:rFonts w:cs="Calibri"/>
                <w:sz w:val="20"/>
                <w:szCs w:val="20"/>
                <w:highlight w:val="green"/>
              </w:rPr>
            </w:pPr>
            <w:r w:rsidRPr="00904B9F">
              <w:rPr>
                <w:rFonts w:cs="Calibri"/>
                <w:sz w:val="20"/>
                <w:szCs w:val="20"/>
                <w:highlight w:val="green"/>
              </w:rPr>
              <w:t>Oprogramowanie</w:t>
            </w:r>
            <w:r w:rsidR="00996F28" w:rsidRPr="00904B9F">
              <w:rPr>
                <w:rFonts w:cs="Calibri"/>
                <w:sz w:val="20"/>
                <w:szCs w:val="20"/>
                <w:highlight w:val="green"/>
              </w:rPr>
              <w:t xml:space="preserve"> (np. oprogramowanie typu</w:t>
            </w:r>
            <w:r w:rsidR="00550413" w:rsidRPr="00904B9F">
              <w:rPr>
                <w:rFonts w:cs="Calibri"/>
                <w:sz w:val="20"/>
                <w:szCs w:val="20"/>
                <w:highlight w:val="green"/>
              </w:rPr>
              <w:t xml:space="preserve"> QDOSE</w:t>
            </w:r>
            <w:r w:rsidR="00996F28" w:rsidRPr="00904B9F">
              <w:rPr>
                <w:rFonts w:cs="Calibri"/>
                <w:sz w:val="20"/>
                <w:szCs w:val="20"/>
                <w:highlight w:val="green"/>
              </w:rPr>
              <w:t xml:space="preserve"> lub równoważne</w:t>
            </w:r>
            <w:r w:rsidR="00550413" w:rsidRPr="00904B9F">
              <w:rPr>
                <w:rFonts w:cs="Calibri"/>
                <w:sz w:val="20"/>
                <w:szCs w:val="20"/>
                <w:highlight w:val="green"/>
              </w:rPr>
              <w:t xml:space="preserve"> zgodnie z nomenklaturą producenta</w:t>
            </w:r>
            <w:r w:rsidR="00996F28" w:rsidRPr="00904B9F">
              <w:rPr>
                <w:rFonts w:cs="Calibri"/>
                <w:sz w:val="20"/>
                <w:szCs w:val="20"/>
                <w:highlight w:val="green"/>
              </w:rPr>
              <w:t>)</w:t>
            </w:r>
            <w:r w:rsidRPr="00904B9F">
              <w:rPr>
                <w:rFonts w:cs="Calibri"/>
                <w:sz w:val="20"/>
                <w:szCs w:val="20"/>
                <w:highlight w:val="green"/>
              </w:rPr>
              <w:t xml:space="preserve"> do dozymetrii </w:t>
            </w:r>
            <w:r w:rsidRPr="00333BEE">
              <w:rPr>
                <w:rFonts w:cs="Calibri"/>
                <w:sz w:val="20"/>
                <w:szCs w:val="20"/>
                <w:highlight w:val="green"/>
              </w:rPr>
              <w:t>w radioterapii izotopowej systemowej i selektywnej (tj. SIRT), umożliwiające obliczenia rozkładu dawki metodami: specyficznymi dla pacjenta (stosując symulację Monte Carlo np. metoda Voxel S) oraz w oparciu o fantom, z zaimplementowanymi metodami obliczeniowymi. Oprogramowanie do dozymetrii wewnętrznej powinno umożliwić wyznaczenie dawki pochłoniętej promieniowania jonizującego w organach i guzach pacjenta, po podaniu następujących radioizotopów: Tc-99m, I-131, Y-90, Lu-177</w:t>
            </w:r>
          </w:p>
          <w:p w:rsidR="000B630F" w:rsidRPr="00333BEE" w:rsidRDefault="000B630F" w:rsidP="000B630F">
            <w:pPr>
              <w:rPr>
                <w:rFonts w:cs="Calibri"/>
                <w:sz w:val="20"/>
                <w:szCs w:val="20"/>
                <w:highlight w:val="green"/>
              </w:rPr>
            </w:pPr>
            <w:r w:rsidRPr="00333BEE">
              <w:rPr>
                <w:rFonts w:cs="Calibri"/>
                <w:sz w:val="20"/>
                <w:szCs w:val="20"/>
                <w:highlight w:val="green"/>
              </w:rPr>
              <w:t>Oprogramowanie ma umożliwić obliczenie dawki pochłoniętej promieniowania jonizującego w wybranych tkankach pacjenta na podstawie serii badań planarnych, całego ciała oraz SPECT/CT (tzw. dozymetria 3D (MIRD/ICRP) 1), hybrydowa).</w:t>
            </w:r>
          </w:p>
          <w:p w:rsidR="00FE0AAE" w:rsidRPr="0074453D" w:rsidRDefault="000B630F" w:rsidP="00550413">
            <w:pPr>
              <w:rPr>
                <w:rFonts w:cs="Calibri"/>
                <w:sz w:val="20"/>
                <w:szCs w:val="20"/>
              </w:rPr>
            </w:pPr>
            <w:r w:rsidRPr="00333BEE">
              <w:rPr>
                <w:rFonts w:cs="Calibri"/>
                <w:sz w:val="20"/>
                <w:szCs w:val="20"/>
                <w:highlight w:val="green"/>
              </w:rPr>
              <w:t>Oprogramowanie można zainstalować na systemach użytkownika.</w:t>
            </w:r>
          </w:p>
        </w:tc>
        <w:tc>
          <w:tcPr>
            <w:tcW w:w="1975" w:type="dxa"/>
            <w:vAlign w:val="center"/>
          </w:tcPr>
          <w:p w:rsidR="000B630F" w:rsidRPr="00AE4380" w:rsidRDefault="000B630F" w:rsidP="00C43122">
            <w:pPr>
              <w:jc w:val="center"/>
              <w:rPr>
                <w:rFonts w:cs="Calibri"/>
                <w:sz w:val="20"/>
                <w:szCs w:val="20"/>
                <w:highlight w:val="cyan"/>
              </w:rPr>
            </w:pPr>
            <w:r w:rsidRPr="00333BEE">
              <w:rPr>
                <w:rFonts w:cs="Calibri"/>
                <w:sz w:val="20"/>
                <w:szCs w:val="20"/>
                <w:highlight w:val="green"/>
              </w:rPr>
              <w:t>TAK</w:t>
            </w:r>
          </w:p>
        </w:tc>
        <w:tc>
          <w:tcPr>
            <w:tcW w:w="3128" w:type="dxa"/>
            <w:vAlign w:val="center"/>
          </w:tcPr>
          <w:p w:rsidR="00775552" w:rsidRPr="00AE4380" w:rsidRDefault="00775552" w:rsidP="00C43122">
            <w:pPr>
              <w:jc w:val="center"/>
              <w:rPr>
                <w:rFonts w:cs="Calibri"/>
                <w:sz w:val="20"/>
                <w:szCs w:val="20"/>
                <w:highlight w:val="cyan"/>
              </w:rPr>
            </w:pPr>
          </w:p>
        </w:tc>
        <w:tc>
          <w:tcPr>
            <w:tcW w:w="3260" w:type="dxa"/>
            <w:vAlign w:val="center"/>
          </w:tcPr>
          <w:p w:rsidR="000B630F" w:rsidRPr="00AE4380" w:rsidRDefault="000B630F" w:rsidP="004508E2">
            <w:pPr>
              <w:jc w:val="center"/>
              <w:rPr>
                <w:rFonts w:cs="Calibri"/>
                <w:strike/>
                <w:sz w:val="20"/>
                <w:szCs w:val="20"/>
                <w:highlight w:val="cyan"/>
              </w:rPr>
            </w:pPr>
            <w:r w:rsidRPr="00333BEE">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Wyposażenie dodatkowe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Dla każdej gammakamery: Komplet podpór do akwizycji pacjenta (minimum): uchwyt do głowy (przy badaniach mózgu) uchwyt do rąk (przy badaniach SPECT i GSPECT serca)  podpórki pod ramiona (przy badaniach typu całego ciała), pod kolana, pod głowę. Taśmy, maty </w:t>
            </w:r>
            <w:r w:rsidRPr="0074453D">
              <w:rPr>
                <w:rFonts w:cs="Calibri"/>
                <w:sz w:val="20"/>
                <w:szCs w:val="20"/>
              </w:rPr>
              <w:lastRenderedPageBreak/>
              <w:t>unieruchamiające podczas akwizycji SPECT z rękami wzdłuż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p>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Fantomy niezbędne do wykonywania testów jakości i kalibracji modułu CT wraz z oprogramowaniem  – zgodne z wymogami rozporządzenia MZ. Jeśli fantomy są takie same dla obu gammakamer – wymagany 1 komplet. Fantomy dostarczane przez Producenta – wymagane oddzielne dla każdego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realizacji procedury kontroli jakości systemu hybrydowego SPECT/CT wg Rozporządzenie MZ (Dz.U. 2017 r. poz. 884)  oraz testów gammakamery wg NEMA (aktualnej wersji)</w:t>
            </w:r>
            <w:r w:rsidRPr="0074453D">
              <w:rPr>
                <w:rFonts w:cs="Calibri"/>
                <w:bCs/>
                <w:sz w:val="20"/>
                <w:szCs w:val="20"/>
                <w:lang w:eastAsia="pl-PL"/>
              </w:rPr>
              <w:t>. Z  dostarczeniem wszystkich potrzebnych instrukcji, fantomów, aplikacji do analizy obrazów testowych.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9B693A" w:rsidRDefault="009B693A" w:rsidP="009B693A">
            <w:pPr>
              <w:spacing w:before="100" w:beforeAutospacing="1" w:after="100" w:afterAutospacing="1" w:line="288" w:lineRule="auto"/>
              <w:rPr>
                <w:rFonts w:cs="Calibri"/>
                <w:sz w:val="20"/>
                <w:szCs w:val="20"/>
                <w:lang w:eastAsia="pl-PL"/>
              </w:rPr>
            </w:pPr>
            <w:r w:rsidRPr="009B693A">
              <w:rPr>
                <w:rFonts w:cs="Calibri"/>
                <w:sz w:val="20"/>
                <w:szCs w:val="20"/>
                <w:highlight w:val="green"/>
                <w:lang w:eastAsia="pl-PL"/>
              </w:rPr>
              <w:t xml:space="preserve">Niniejszy parametr jest wymagany tylko w sytuacji gdy w pkt 107 </w:t>
            </w:r>
            <w:r w:rsidR="00F00CF2">
              <w:rPr>
                <w:rFonts w:cs="Calibri"/>
                <w:sz w:val="20"/>
                <w:szCs w:val="20"/>
                <w:highlight w:val="green"/>
                <w:lang w:eastAsia="pl-PL"/>
              </w:rPr>
              <w:t>lub</w:t>
            </w:r>
            <w:r w:rsidRPr="009B693A">
              <w:rPr>
                <w:rFonts w:cs="Calibri"/>
                <w:sz w:val="20"/>
                <w:szCs w:val="20"/>
                <w:highlight w:val="green"/>
                <w:lang w:eastAsia="pl-PL"/>
              </w:rPr>
              <w:t xml:space="preserve"> 191</w:t>
            </w:r>
            <w:r w:rsidR="007D2395">
              <w:rPr>
                <w:rFonts w:cs="Calibri"/>
                <w:sz w:val="20"/>
                <w:szCs w:val="20"/>
                <w:highlight w:val="green"/>
                <w:lang w:eastAsia="pl-PL"/>
              </w:rPr>
              <w:t xml:space="preserve"> (lub w obu punktach)</w:t>
            </w:r>
            <w:r w:rsidRPr="009B693A">
              <w:rPr>
                <w:rFonts w:cs="Calibri"/>
                <w:sz w:val="20"/>
                <w:szCs w:val="20"/>
                <w:highlight w:val="green"/>
                <w:lang w:eastAsia="pl-PL"/>
              </w:rPr>
              <w:t xml:space="preserve"> Wykonawca udzielił odpowiedzi: „NIE”.</w:t>
            </w:r>
          </w:p>
          <w:p w:rsidR="00775552" w:rsidRPr="0074453D" w:rsidRDefault="00775552" w:rsidP="009B693A">
            <w:pPr>
              <w:spacing w:before="100" w:beforeAutospacing="1" w:after="100" w:afterAutospacing="1" w:line="288" w:lineRule="auto"/>
              <w:rPr>
                <w:rFonts w:cs="Calibri"/>
                <w:sz w:val="20"/>
                <w:szCs w:val="20"/>
                <w:lang w:eastAsia="pl-PL"/>
              </w:rPr>
            </w:pPr>
            <w:r w:rsidRPr="0074453D">
              <w:rPr>
                <w:rFonts w:cs="Calibri"/>
                <w:sz w:val="20"/>
                <w:szCs w:val="20"/>
                <w:lang w:eastAsia="pl-PL"/>
              </w:rPr>
              <w:t>Źródło płaskie Co57 o aktywności 20 [mCi] wielkością dostosowane do wymiarów detektorów gamma-kamery. Dostarczenie po uzyskaniu stosownych zezwoleń. Aktywność skalibrowana na czas dostawy (+/- 2 tygodnie). Wielkość powierzchni źródła uzależniona 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Napełniany samo mieszający fantom do zewnętrznej kontroli jednorodności jakości gammakamery. Wielkość powierzchni uzależniona 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Zasilanie awaryjne UPS dla gammakamery SPECT, stacji akwizycyjnej i stacji opracowania. Umożliwiające dokończenie akwizycji scyntygraficznej (min. 20 min.) Zasilanie nie musi obejmować skanera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System monitorujący pacjenta leżącego pod gammakamerą. Minimum po 3 kamery na aparat (zoom, rozdzielczość min. FullHD), dla każdej z gammakamer SPECT/CT. 2 stanowiska podglądu, monitory min. 24 cale z możliwością instalacji na ścianie.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Testy akceptacyjne po instalacji dla gamma kamery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bCs/>
                <w:sz w:val="20"/>
                <w:szCs w:val="20"/>
                <w:lang w:eastAsia="pl-PL"/>
              </w:rPr>
            </w:pPr>
            <w:r w:rsidRPr="0074453D">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Drukarka kolorowa laserowa obsługująca standard DICOM. Kompatybilna z dostarczonym sprzętem.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bCs/>
                <w:iCs/>
                <w:sz w:val="20"/>
                <w:szCs w:val="20"/>
              </w:rPr>
              <w:t>SPRZĘT KOMPUTEROWY / PRACA W SIECIACH INFORMATYCZNYCH – wymagania ogólne</w:t>
            </w:r>
          </w:p>
        </w:tc>
      </w:tr>
      <w:tr w:rsidR="00775552" w:rsidRPr="0074453D" w:rsidTr="00C43122">
        <w:tc>
          <w:tcPr>
            <w:tcW w:w="567" w:type="dxa"/>
            <w:vAlign w:val="center"/>
          </w:tcPr>
          <w:p w:rsidR="00775552" w:rsidRPr="0074453D" w:rsidRDefault="00775552"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iCs/>
                <w:sz w:val="20"/>
              </w:rPr>
              <w:t>Aparaty oraz stacje postprocessingowe przygotowane do integracji z systemem RIS/PACS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Oferowane urządzenia posiadają  możliwość współpracy ze szpitalnymi sieciami informatycznymi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Aktualizacja oprogramowania zainstalowanego w dostarczonych urządzeniach komputerowych w okresie trwania gwarancji.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Integracja aparatu z systemem informatycznym RIS Zamawiającego (Softmed Orion) w zakresie obsługi list roboczych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Archiwizacja danych obrazowych w systemie PACS Zamawiającego wraz z uwzględnieniem mechanizmu Storage Commitment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Czytelna wizualizacja stanu archiwizacji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Konfiguracja systemów RIS (Softmed Orion) oraz PACS (Agfa Impax) może być wykonana wyłącznie przez autoryzowany serwis tych systemów. Wszelkie koszty związane z integracją pokrywa Wykonawca.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Nieorganiczne czasowo licencje na funkcjonalności DICOM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Możliwość uruchomienia klienta AGFA – IMPAX na stacja diagnostycznych stanowiących wyposażenie RM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każdej stacji  diagnostycznej producenta systemu SPECT 3ci monitor opisowy (lub komputer z monitorem opisowym)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 przypadku, gdy do uruchomienia dostarczanej aparatury medycznej Wykonawca potrzebuje wykonać dodatkowe elementy sieci komputerowej powinny spełnić następujące wymagania.</w:t>
            </w:r>
          </w:p>
          <w:p w:rsidR="00775552" w:rsidRPr="0074453D" w:rsidRDefault="00775552" w:rsidP="001C3FC0">
            <w:pPr>
              <w:rPr>
                <w:rFonts w:cs="Calibri"/>
                <w:sz w:val="20"/>
                <w:szCs w:val="20"/>
              </w:rPr>
            </w:pPr>
            <w:r w:rsidRPr="0074453D">
              <w:rPr>
                <w:rFonts w:cs="Calibri"/>
                <w:sz w:val="20"/>
                <w:szCs w:val="20"/>
              </w:rPr>
              <w:t>•Dla wykonania okablowania opartego o skrętkę miedzianą (UTP, FTP, STP) należy wykorzystać komponenty co najmniej kategorii 6a z zapewnieniem torów transmisyjnych klasy Ea</w:t>
            </w:r>
          </w:p>
          <w:p w:rsidR="00775552" w:rsidRPr="0074453D" w:rsidRDefault="00775552" w:rsidP="001C3FC0">
            <w:pPr>
              <w:rPr>
                <w:rFonts w:cs="Calibri"/>
                <w:sz w:val="20"/>
                <w:szCs w:val="20"/>
              </w:rPr>
            </w:pPr>
            <w:r w:rsidRPr="0074453D">
              <w:rPr>
                <w:rFonts w:cs="Calibri"/>
                <w:sz w:val="20"/>
                <w:szCs w:val="20"/>
              </w:rPr>
              <w:t>•Dla okablowania światłowodowego należy wykorzystać włókna wielomodowe klasy co najmniej OM3, a dla okablowania jednodomowego włókna klasy co najmniej OS2</w:t>
            </w:r>
          </w:p>
          <w:p w:rsidR="00775552" w:rsidRPr="0074453D" w:rsidRDefault="00775552" w:rsidP="001C3FC0">
            <w:pPr>
              <w:rPr>
                <w:rFonts w:cs="Calibri"/>
                <w:sz w:val="20"/>
                <w:szCs w:val="20"/>
              </w:rPr>
            </w:pPr>
            <w:r w:rsidRPr="0074453D">
              <w:rPr>
                <w:rFonts w:cs="Calibri"/>
                <w:sz w:val="20"/>
                <w:szCs w:val="20"/>
              </w:rPr>
              <w:t xml:space="preserve">•Okablowanie powinno być ukryte przed łatwym dostępem (montaż </w:t>
            </w:r>
            <w:r w:rsidRPr="0074453D">
              <w:rPr>
                <w:rFonts w:cs="Calibri"/>
                <w:sz w:val="20"/>
                <w:szCs w:val="20"/>
              </w:rPr>
              <w:lastRenderedPageBreak/>
              <w:t>podtynkowy, koryto PVC lub pod podłogą techniczną).</w:t>
            </w:r>
          </w:p>
          <w:p w:rsidR="00775552" w:rsidRPr="0074453D" w:rsidRDefault="00775552" w:rsidP="001C3FC0">
            <w:pPr>
              <w:rPr>
                <w:rFonts w:cs="Calibri"/>
                <w:sz w:val="20"/>
                <w:szCs w:val="20"/>
              </w:rPr>
            </w:pPr>
            <w:r w:rsidRPr="0074453D">
              <w:rPr>
                <w:rFonts w:cs="Calibri"/>
                <w:sz w:val="20"/>
                <w:szCs w:val="20"/>
              </w:rPr>
              <w:t>• Okablowanie powinno być zakończone w gniazdach lub na panelach krosowych</w:t>
            </w:r>
          </w:p>
          <w:p w:rsidR="00775552" w:rsidRPr="0074453D" w:rsidRDefault="00775552" w:rsidP="001C3FC0">
            <w:pPr>
              <w:rPr>
                <w:rFonts w:cs="Calibri"/>
                <w:sz w:val="20"/>
                <w:szCs w:val="20"/>
              </w:rPr>
            </w:pPr>
            <w:r w:rsidRPr="0074453D">
              <w:rPr>
                <w:rFonts w:cs="Calibri"/>
                <w:sz w:val="20"/>
                <w:szCs w:val="20"/>
              </w:rPr>
              <w:t>• Gniazda i panele krosowe powinny być czytelnie oznakowane w sposób unikalny w skali całego budynku</w:t>
            </w:r>
          </w:p>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 Jakość wykonanych komponentów zostanie potwierdzona pomiarami a wyniki pomiarów zgodności z klasą Ea i zostaną dostarczone do dokumentacji powykonawczej. Zastrzegamy możliwość uczestniczenia pracownika Zamawiającego w procesie pomiarowym.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B63E97">
            <w:pPr>
              <w:pStyle w:val="Akapitzlist"/>
              <w:ind w:left="0"/>
              <w:rPr>
                <w:rFonts w:cs="Calibri"/>
                <w:sz w:val="20"/>
                <w:szCs w:val="20"/>
              </w:rPr>
            </w:pPr>
            <w:r w:rsidRPr="0074453D">
              <w:rPr>
                <w:rFonts w:cs="Calibri"/>
                <w:sz w:val="20"/>
                <w:szCs w:val="20"/>
              </w:rPr>
              <w:t>Sprzęt aktywny użyty do wykonania dedykowanej sieci komputerowej (przełączniki, routery, zapory) powinien spełniać następujące wymogi:</w:t>
            </w:r>
          </w:p>
          <w:p w:rsidR="00775552" w:rsidRPr="0074453D" w:rsidRDefault="00775552" w:rsidP="00B63E97">
            <w:pPr>
              <w:pStyle w:val="Akapitzlist"/>
              <w:spacing w:after="0" w:line="240" w:lineRule="auto"/>
              <w:ind w:left="0"/>
              <w:rPr>
                <w:rFonts w:cs="Calibri"/>
                <w:sz w:val="20"/>
                <w:szCs w:val="20"/>
              </w:rPr>
            </w:pPr>
            <w:r w:rsidRPr="0074453D">
              <w:rPr>
                <w:rFonts w:cs="Calibri"/>
                <w:sz w:val="20"/>
                <w:szCs w:val="20"/>
              </w:rPr>
              <w:t xml:space="preserve">interfejsy o prędkości co najmniej 1Gbit/s zarządzalny interfejs </w:t>
            </w:r>
          </w:p>
          <w:p w:rsidR="00775552" w:rsidRPr="0074453D" w:rsidRDefault="00775552" w:rsidP="00B63E97">
            <w:pPr>
              <w:pStyle w:val="Akapitzlist"/>
              <w:numPr>
                <w:ilvl w:val="0"/>
                <w:numId w:val="10"/>
              </w:numPr>
              <w:spacing w:after="0" w:line="240" w:lineRule="auto"/>
              <w:ind w:left="0" w:firstLine="0"/>
              <w:rPr>
                <w:rFonts w:cs="Calibri"/>
                <w:sz w:val="20"/>
                <w:szCs w:val="20"/>
              </w:rPr>
            </w:pPr>
            <w:r w:rsidRPr="0074453D">
              <w:rPr>
                <w:rFonts w:cs="Calibri"/>
                <w:sz w:val="20"/>
                <w:szCs w:val="20"/>
              </w:rPr>
              <w:t>Umożliwiajcy odczyt liczników błędów komunikacji dla poszczególnych interfejsów umożliwia odczyt przypisania adresów MAC do  poszczególnych portów możliwość logicznego wyłączenia interfejsu</w:t>
            </w:r>
          </w:p>
          <w:p w:rsidR="00775552" w:rsidRPr="0074453D" w:rsidRDefault="00775552" w:rsidP="00B63E97">
            <w:pPr>
              <w:pStyle w:val="Nagwek1"/>
              <w:snapToGrid w:val="0"/>
              <w:ind w:left="0" w:firstLine="0"/>
              <w:rPr>
                <w:rFonts w:ascii="Calibri" w:hAnsi="Calibri" w:cs="Calibri"/>
                <w:bCs/>
                <w:iCs/>
                <w:sz w:val="20"/>
              </w:rPr>
            </w:pPr>
            <w:r w:rsidRPr="0074453D">
              <w:rPr>
                <w:rFonts w:ascii="Calibri" w:hAnsi="Calibri" w:cs="Calibri"/>
                <w:sz w:val="20"/>
              </w:rPr>
              <w:t>Hasła dostępowe zostaną przekazane do Działu Informatyki SU.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0558C8">
            <w:pPr>
              <w:rPr>
                <w:rFonts w:cs="Calibri"/>
                <w:sz w:val="20"/>
                <w:szCs w:val="20"/>
              </w:rPr>
            </w:pPr>
            <w:r w:rsidRPr="0074453D">
              <w:rPr>
                <w:rFonts w:cs="Calibri"/>
                <w:sz w:val="20"/>
                <w:szCs w:val="20"/>
              </w:rPr>
              <w:t xml:space="preserve">Adresacja IP dla dostarczanych urządzeń oraz nazwy parametryczne np. nazwy komputerów, domen DNS, AE Title powinny być ustalane z Zamawiającym. W szczególności niedopuszczalne jest stosowanie fabrycznych nazw AE Title bazujących na nazwie modelu urządzenia. </w:t>
            </w:r>
            <w:r w:rsidRPr="0074453D">
              <w:rPr>
                <w:rFonts w:cs="Calibri"/>
                <w:sz w:val="20"/>
              </w:rPr>
              <w:t>Wszystkie wykorzystane adresy IP oraz nazwy AE Title powinny być udokumentowane wraz z krótkim opisem urządzenia, do którego adres zostały przypisane. Listę wykorzystanych adresów IP należy dołączyć do dokumentacji powykonawczej.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1C3FC0">
            <w:pPr>
              <w:rPr>
                <w:rFonts w:cs="Calibri"/>
                <w:b/>
                <w:sz w:val="20"/>
                <w:szCs w:val="20"/>
              </w:rPr>
            </w:pPr>
            <w:r w:rsidRPr="0074453D">
              <w:rPr>
                <w:rFonts w:cs="Calibri"/>
                <w:b/>
                <w:bCs/>
                <w:iCs/>
                <w:sz w:val="20"/>
                <w:szCs w:val="20"/>
              </w:rPr>
              <w:t>INNE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Wykonawca sam przygotuje odpowiednie pomieszczenie dla serwerów obsługujących aparaty i stacje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775552" w:rsidRPr="0074453D" w:rsidRDefault="00775552" w:rsidP="00C43122">
            <w:pPr>
              <w:spacing w:line="288" w:lineRule="auto"/>
              <w:rPr>
                <w:rFonts w:cs="Calibri"/>
                <w:b/>
                <w:sz w:val="20"/>
                <w:szCs w:val="20"/>
              </w:rPr>
            </w:pPr>
            <w:r w:rsidRPr="0074453D">
              <w:rPr>
                <w:rFonts w:cs="Calibri"/>
                <w:b/>
                <w:sz w:val="20"/>
                <w:szCs w:val="20"/>
                <w:lang w:eastAsia="pl-PL"/>
              </w:rPr>
              <w:t>PRACE ADPATACYJNE</w:t>
            </w:r>
          </w:p>
        </w:tc>
      </w:tr>
      <w:tr w:rsidR="00775552" w:rsidRPr="0074453D" w:rsidTr="00C43122">
        <w:trPr>
          <w:trHeight w:val="1155"/>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tcPr>
          <w:p w:rsidR="00775552" w:rsidRPr="0074453D" w:rsidRDefault="00775552" w:rsidP="00FD0D68">
            <w:pPr>
              <w:rPr>
                <w:rFonts w:cs="Calibri"/>
                <w:sz w:val="20"/>
                <w:szCs w:val="20"/>
              </w:rPr>
            </w:pPr>
            <w:r w:rsidRPr="0074453D">
              <w:rPr>
                <w:rFonts w:cs="Calibri"/>
                <w:sz w:val="20"/>
                <w:szCs w:val="20"/>
              </w:rPr>
              <w:t>Montaż urządzenia – we wskazanych pomieszczeniach NSSU Kraków –Prokocim.</w:t>
            </w:r>
          </w:p>
          <w:p w:rsidR="00775552" w:rsidRPr="0074453D" w:rsidRDefault="00775552" w:rsidP="00FD0D68">
            <w:pPr>
              <w:rPr>
                <w:rFonts w:cs="Calibri"/>
                <w:lang w:eastAsia="pl-PL"/>
              </w:rPr>
            </w:pPr>
            <w:r w:rsidRPr="0074453D">
              <w:rPr>
                <w:rFonts w:cs="Calibri"/>
                <w:sz w:val="20"/>
                <w:szCs w:val="20"/>
              </w:rPr>
              <w:t>Wykonawca zobowiązuje się, że wszystkie prace i czynności nie wpłyną na gwarancję obiektu NSSU jako całości</w:t>
            </w:r>
          </w:p>
        </w:tc>
        <w:tc>
          <w:tcPr>
            <w:tcW w:w="1975" w:type="dxa"/>
            <w:vAlign w:val="center"/>
          </w:tcPr>
          <w:p w:rsidR="00775552" w:rsidRPr="0074453D" w:rsidRDefault="00775552" w:rsidP="00C43122">
            <w:pPr>
              <w:spacing w:line="288" w:lineRule="auto"/>
              <w:jc w:val="center"/>
              <w:rPr>
                <w:rFonts w:cs="Calibri"/>
                <w:sz w:val="20"/>
                <w:szCs w:val="20"/>
                <w:lang w:eastAsia="pl-PL"/>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lang w:eastAsia="pl-PL"/>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0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Powierzchnia instalacyjna [m</w:t>
            </w:r>
            <w:r w:rsidRPr="0074453D">
              <w:rPr>
                <w:rFonts w:cs="Calibri"/>
                <w:sz w:val="20"/>
                <w:szCs w:val="20"/>
                <w:vertAlign w:val="superscript"/>
              </w:rPr>
              <w:t>2</w:t>
            </w:r>
            <w:r w:rsidRPr="0074453D">
              <w:rPr>
                <w:rFonts w:cs="Calibri"/>
                <w:sz w:val="20"/>
                <w:szCs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Wykonawca gwarantuje, że masa systemu nie wpłynie na dopuszczalne obciążenie stropu pracowni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Podać informację czy system wymaga dodatkowych (poza istniejącą infrastruktury) instalacji chłodzących</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672"/>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775552" w:rsidRPr="0074453D" w:rsidRDefault="00775552" w:rsidP="00C43122">
            <w:pPr>
              <w:snapToGrid w:val="0"/>
              <w:spacing w:line="288" w:lineRule="auto"/>
              <w:rPr>
                <w:rFonts w:cs="Calibri"/>
                <w:sz w:val="20"/>
                <w:szCs w:val="20"/>
              </w:rPr>
            </w:pPr>
            <w:r w:rsidRPr="0074453D">
              <w:rPr>
                <w:rFonts w:cs="Calibri"/>
                <w:b/>
                <w:sz w:val="20"/>
                <w:szCs w:val="20"/>
              </w:rPr>
              <w:t>UWAGA:</w:t>
            </w:r>
            <w:r w:rsidRPr="0074453D">
              <w:rPr>
                <w:rFonts w:cs="Calibri"/>
                <w:sz w:val="20"/>
                <w:szCs w:val="20"/>
              </w:rPr>
              <w:t xml:space="preserve"> </w:t>
            </w:r>
            <w:r w:rsidRPr="0074453D">
              <w:rPr>
                <w:rFonts w:cs="Calibri"/>
                <w:i/>
                <w:sz w:val="20"/>
                <w:szCs w:val="20"/>
              </w:rPr>
              <w:t>po stronie Wykonawcy wszystkie ewentualne prace i czynności projektowe (w tym dokonanie uzgodnień z projektantem szpitala) i wykonawcze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bCs/>
                <w:iCs/>
                <w:sz w:val="20"/>
                <w:szCs w:val="20"/>
              </w:rPr>
              <w:t>Wymagana moc przyłączeniowa zasilania energetycznego [kVA]</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112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1483"/>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Ciężar całego systemu [kg] z rozbiciem na najbardziej istotne elementy składowe</w:t>
            </w:r>
          </w:p>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UWAGA – Wykonawca gwarantuje jednocześnie, że masa systemu nie wpłynie na dopuszczalne obciążenie konstrukcji obiektu.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Warunki klimatyczne wymagane podczas pracy urządzenia:</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temperatur [°C]</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Dopuszczalne zmiany warunków klimatycznych podczas pracy:</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temperatura [0C/godz]</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 / godz]]</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60"/>
        </w:trPr>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C43122">
            <w:pPr>
              <w:spacing w:line="288" w:lineRule="auto"/>
              <w:rPr>
                <w:rFonts w:cs="Calibri"/>
                <w:sz w:val="16"/>
                <w:szCs w:val="16"/>
              </w:rPr>
            </w:pPr>
            <w:r w:rsidRPr="0074453D">
              <w:rPr>
                <w:rFonts w:cs="Calibri"/>
                <w:b/>
                <w:bCs/>
                <w:iCs/>
                <w:sz w:val="20"/>
                <w:szCs w:val="20"/>
              </w:rPr>
              <w:t>PRACE PROJEKTOWE I INSTALACYJNE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niezbędne prace instalacyjne i adaptacyjne (opracowanie projektów i realizacja), oraz dokumentacja – konieczne do odbioru i dopuszczenia do eksploatacji pracowni oraz aparatu przez uprawnione instytucje.</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w:t>
            </w:r>
            <w:r w:rsidRPr="0074453D">
              <w:rPr>
                <w:rFonts w:ascii="Calibri" w:hAnsi="Calibri" w:cs="Calibri"/>
                <w:bCs/>
                <w:iCs/>
                <w:sz w:val="20"/>
              </w:rPr>
              <w:lastRenderedPageBreak/>
              <w:t xml:space="preserve">uruchomienia i użytkowania urządzenia, jak również wykona wszystkie wynikające z tego dostosowania prace. </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lastRenderedPageBreak/>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tabs>
                <w:tab w:val="left" w:pos="1204"/>
                <w:tab w:val="center" w:pos="1327"/>
              </w:tabs>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A022F">
      <w:pPr>
        <w:spacing w:after="0" w:line="240" w:lineRule="auto"/>
        <w:rPr>
          <w:rFonts w:cs="Calibri"/>
          <w:sz w:val="20"/>
          <w:szCs w:val="20"/>
        </w:rPr>
      </w:pPr>
    </w:p>
    <w:p w:rsidR="00775552" w:rsidRPr="0074453D" w:rsidRDefault="00775552" w:rsidP="004957D7">
      <w:pPr>
        <w:pStyle w:val="Nagwek2"/>
        <w:tabs>
          <w:tab w:val="clear" w:pos="0"/>
        </w:tabs>
        <w:ind w:hanging="9"/>
        <w:rPr>
          <w:rFonts w:ascii="Calibri" w:hAnsi="Calibri" w:cs="Calibri"/>
          <w:sz w:val="22"/>
          <w:szCs w:val="22"/>
          <w:lang w:eastAsia="en-US"/>
        </w:rPr>
      </w:pPr>
      <w:r w:rsidRPr="0074453D">
        <w:rPr>
          <w:rFonts w:ascii="Calibri" w:hAnsi="Calibri" w:cs="Calibri"/>
          <w:sz w:val="22"/>
          <w:szCs w:val="22"/>
          <w:lang w:eastAsia="en-US"/>
        </w:rPr>
        <w:lastRenderedPageBreak/>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775552" w:rsidRPr="0074453D" w:rsidTr="004A022F">
        <w:trPr>
          <w:tblHeader/>
        </w:trPr>
        <w:tc>
          <w:tcPr>
            <w:tcW w:w="567" w:type="dxa"/>
            <w:shd w:val="clear" w:color="auto" w:fill="FFFFFF"/>
            <w:vAlign w:val="center"/>
          </w:tcPr>
          <w:p w:rsidR="00775552" w:rsidRPr="0074453D" w:rsidRDefault="00775552" w:rsidP="002F3D91">
            <w:pPr>
              <w:pStyle w:val="Zawartotabeli"/>
              <w:snapToGrid w:val="0"/>
              <w:rPr>
                <w:rFonts w:ascii="Calibri" w:hAnsi="Calibri" w:cs="Calibri"/>
                <w:b/>
                <w:sz w:val="20"/>
                <w:szCs w:val="20"/>
              </w:rPr>
            </w:pPr>
            <w:r w:rsidRPr="0074453D">
              <w:rPr>
                <w:rFonts w:ascii="Calibri" w:hAnsi="Calibri" w:cs="Calibri"/>
                <w:b/>
                <w:sz w:val="20"/>
                <w:szCs w:val="20"/>
              </w:rPr>
              <w:t>L.p.</w:t>
            </w:r>
          </w:p>
        </w:tc>
        <w:tc>
          <w:tcPr>
            <w:tcW w:w="6096" w:type="dxa"/>
            <w:shd w:val="clear" w:color="auto" w:fill="FFFFFF"/>
            <w:vAlign w:val="center"/>
          </w:tcPr>
          <w:p w:rsidR="00775552" w:rsidRPr="0074453D" w:rsidRDefault="00775552" w:rsidP="002F3D91">
            <w:pPr>
              <w:pStyle w:val="Nagwek1"/>
              <w:snapToGrid w:val="0"/>
              <w:ind w:left="0" w:firstLine="0"/>
              <w:jc w:val="center"/>
              <w:rPr>
                <w:rFonts w:ascii="Calibri" w:hAnsi="Calibri" w:cs="Calibri"/>
                <w:b/>
                <w:bCs/>
                <w:iCs/>
                <w:sz w:val="20"/>
              </w:rPr>
            </w:pPr>
            <w:r w:rsidRPr="0074453D">
              <w:rPr>
                <w:rFonts w:ascii="Calibri" w:hAnsi="Calibri" w:cs="Calibri"/>
                <w:b/>
                <w:bCs/>
                <w:kern w:val="0"/>
                <w:sz w:val="20"/>
              </w:rPr>
              <w:t>Parametr</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wymagany/ wartość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oferowany</w:t>
            </w:r>
          </w:p>
        </w:tc>
        <w:tc>
          <w:tcPr>
            <w:tcW w:w="3260" w:type="dxa"/>
            <w:shd w:val="clear" w:color="auto" w:fill="FFFFFF"/>
            <w:vAlign w:val="center"/>
          </w:tcPr>
          <w:p w:rsidR="00775552" w:rsidRPr="0074453D" w:rsidRDefault="00775552" w:rsidP="002F3D91">
            <w:pPr>
              <w:jc w:val="center"/>
              <w:rPr>
                <w:rFonts w:cs="Calibri"/>
                <w:b/>
                <w:sz w:val="20"/>
                <w:szCs w:val="20"/>
              </w:rPr>
            </w:pPr>
            <w:r w:rsidRPr="0074453D">
              <w:rPr>
                <w:rFonts w:cs="Calibri"/>
                <w:b/>
                <w:sz w:val="20"/>
                <w:szCs w:val="20"/>
              </w:rPr>
              <w:t>Sposób oceny parametru</w:t>
            </w:r>
          </w:p>
        </w:tc>
      </w:tr>
      <w:tr w:rsidR="00775552" w:rsidRPr="0074453D" w:rsidTr="004A022F">
        <w:trPr>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rPr>
                <w:rFonts w:cs="Calibri"/>
                <w:sz w:val="20"/>
                <w:szCs w:val="20"/>
              </w:rPr>
            </w:pPr>
            <w:r w:rsidRPr="0074453D">
              <w:rPr>
                <w:rFonts w:cs="Calibri"/>
                <w:b/>
                <w:bCs/>
                <w:sz w:val="20"/>
                <w:lang w:val="en-US"/>
              </w:rPr>
              <w:t>GWARANCJE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okres gwarancji dla aparatu oraz wszystkich współpracujących z nimi urządzeń [liczba miesięcy]</w:t>
            </w:r>
          </w:p>
          <w:p w:rsidR="00775552" w:rsidRPr="0074453D" w:rsidRDefault="00775552" w:rsidP="002F3D91">
            <w:pPr>
              <w:pStyle w:val="Nagwek1"/>
              <w:snapToGrid w:val="0"/>
              <w:ind w:left="0" w:firstLine="0"/>
              <w:rPr>
                <w:rFonts w:ascii="Calibri" w:hAnsi="Calibri" w:cs="Calibri"/>
                <w:bCs/>
                <w:kern w:val="0"/>
                <w:sz w:val="20"/>
                <w:lang w:eastAsia="en-US"/>
              </w:rPr>
            </w:pPr>
            <w:r w:rsidRPr="0074453D">
              <w:rPr>
                <w:rFonts w:ascii="Calibri" w:hAnsi="Calibri" w:cs="Calibri"/>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74453D">
              <w:rPr>
                <w:rFonts w:ascii="Calibri" w:hAnsi="Calibri" w:cs="Calibri"/>
                <w:bCs/>
                <w:iCs/>
                <w:strike/>
                <w:sz w:val="20"/>
                <w:highlight w:val="yellow"/>
              </w:rPr>
              <w:t>10 lat</w:t>
            </w:r>
            <w:r w:rsidRPr="0074453D">
              <w:rPr>
                <w:rFonts w:ascii="Calibri" w:hAnsi="Calibri" w:cs="Calibri"/>
                <w:bCs/>
                <w:iCs/>
                <w:sz w:val="20"/>
                <w:highlight w:val="yellow"/>
              </w:rPr>
              <w:t xml:space="preserve"> 5 lat</w:t>
            </w:r>
            <w:r w:rsidRPr="0074453D">
              <w:rPr>
                <w:rFonts w:ascii="Calibri" w:hAnsi="Calibri" w:cs="Calibri"/>
                <w:bCs/>
                <w:iCs/>
                <w:sz w:val="20"/>
              </w:rPr>
              <w:t>.</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&gt;= 24, podać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2F3D91">
            <w:pPr>
              <w:snapToGrid w:val="0"/>
              <w:jc w:val="center"/>
              <w:rPr>
                <w:rFonts w:cs="Calibri"/>
                <w:sz w:val="20"/>
                <w:szCs w:val="20"/>
              </w:rPr>
            </w:pPr>
            <w:r w:rsidRPr="0074453D">
              <w:rPr>
                <w:rFonts w:cs="Calibri"/>
                <w:sz w:val="20"/>
                <w:szCs w:val="20"/>
              </w:rPr>
              <w:t xml:space="preserve">Najdłuższy okres ponad minimalnie wymagany – </w:t>
            </w:r>
            <w:r w:rsidRPr="0074453D">
              <w:rPr>
                <w:rFonts w:cs="Calibri"/>
                <w:strike/>
                <w:sz w:val="20"/>
                <w:szCs w:val="20"/>
                <w:highlight w:val="yellow"/>
              </w:rPr>
              <w:t>30 pkt</w:t>
            </w:r>
            <w:r w:rsidRPr="0074453D">
              <w:rPr>
                <w:rFonts w:cs="Calibri"/>
                <w:sz w:val="20"/>
                <w:szCs w:val="20"/>
                <w:highlight w:val="yellow"/>
              </w:rPr>
              <w:t xml:space="preserve"> 10 pkt</w:t>
            </w:r>
            <w:r w:rsidRPr="0074453D">
              <w:rPr>
                <w:rFonts w:cs="Calibri"/>
                <w:sz w:val="20"/>
                <w:szCs w:val="20"/>
              </w:rPr>
              <w:t>.</w:t>
            </w:r>
          </w:p>
          <w:p w:rsidR="00775552" w:rsidRPr="0074453D" w:rsidRDefault="00775552" w:rsidP="002F3D91">
            <w:pPr>
              <w:jc w:val="center"/>
              <w:rPr>
                <w:rFonts w:cs="Calibri"/>
                <w:sz w:val="20"/>
                <w:szCs w:val="20"/>
              </w:rPr>
            </w:pPr>
            <w:r w:rsidRPr="0074453D">
              <w:rPr>
                <w:rFonts w:cs="Calibri"/>
                <w:sz w:val="20"/>
                <w:szCs w:val="20"/>
              </w:rPr>
              <w:t>Inne – proporcjonalnie mniej  w stosunku do najdłuższego</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650"/>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ind w:left="0" w:firstLine="0"/>
              <w:rPr>
                <w:rFonts w:ascii="Calibri" w:hAnsi="Calibri" w:cs="Calibri"/>
                <w:bCs/>
                <w:iCs/>
                <w:sz w:val="20"/>
              </w:rPr>
            </w:pPr>
            <w:r w:rsidRPr="0074453D">
              <w:rPr>
                <w:rFonts w:ascii="Calibri" w:hAnsi="Calibri" w:cs="Calibri"/>
                <w:bCs/>
                <w:iCs/>
                <w:sz w:val="20"/>
              </w:rPr>
              <w:t>termin gwarancji przedłuża się o liczbę dni, w ciągu których Szpital Uniwersytecki nie mógł korzystać ze sprzętu</w:t>
            </w:r>
            <w:r>
              <w:rPr>
                <w:rFonts w:ascii="Calibri" w:hAnsi="Calibri" w:cs="Calibri"/>
                <w:bCs/>
                <w:iCs/>
                <w:sz w:val="20"/>
              </w:rPr>
              <w:t xml:space="preserve">, </w:t>
            </w:r>
            <w:r w:rsidR="00B65E19" w:rsidRPr="00246C78">
              <w:rPr>
                <w:rFonts w:ascii="Calibri" w:hAnsi="Calibri" w:cs="Calibri"/>
                <w:bCs/>
                <w:iCs/>
                <w:sz w:val="20"/>
                <w:highlight w:val="green"/>
              </w:rPr>
              <w:t xml:space="preserve">nie dotyczy </w:t>
            </w:r>
            <w:r w:rsidR="00471A21" w:rsidRPr="00246C78">
              <w:rPr>
                <w:rFonts w:ascii="Calibri" w:hAnsi="Calibri" w:cs="Calibri"/>
                <w:bCs/>
                <w:iCs/>
                <w:sz w:val="20"/>
                <w:highlight w:val="green"/>
              </w:rPr>
              <w:t xml:space="preserve">okresu </w:t>
            </w:r>
            <w:r w:rsidR="00B65E19" w:rsidRPr="00246C78">
              <w:rPr>
                <w:rFonts w:ascii="Calibri" w:hAnsi="Calibri" w:cs="Calibri"/>
                <w:bCs/>
                <w:iCs/>
                <w:sz w:val="20"/>
                <w:highlight w:val="green"/>
              </w:rPr>
              <w:t>planowanych przeglądów</w:t>
            </w:r>
            <w:r w:rsidR="00B65E19" w:rsidRPr="00246C78">
              <w:rPr>
                <w:rFonts w:ascii="Calibri" w:hAnsi="Calibri" w:cs="Calibri"/>
                <w:bCs/>
                <w:iCs/>
                <w:sz w:val="20"/>
              </w:rPr>
              <w:t xml:space="preserve"> </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45"/>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WARUNKI SERWISU</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Czas reakcji (dotyczy także reakcji zdalnej): „przyjęte zgłoszenie – podjęta naprawa” =&lt; 24 [godz.]</w:t>
            </w:r>
            <w:r w:rsidR="00A20CFC">
              <w:rPr>
                <w:rFonts w:ascii="Calibri" w:hAnsi="Calibri" w:cs="Calibri"/>
                <w:bCs/>
                <w:iCs/>
                <w:sz w:val="20"/>
              </w:rPr>
              <w:t xml:space="preserve"> </w:t>
            </w:r>
            <w:r w:rsidR="00A20CFC" w:rsidRPr="005A17DA">
              <w:rPr>
                <w:rFonts w:ascii="Calibri" w:hAnsi="Calibri" w:cs="Calibri"/>
                <w:bCs/>
                <w:iCs/>
                <w:sz w:val="20"/>
                <w:highlight w:val="green"/>
              </w:rPr>
              <w:t>w dni robocze</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zgłoszeń 24h/dobę, 365 dni/rok</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1E16EE" w:rsidRDefault="00775552" w:rsidP="001E16EE">
            <w:pPr>
              <w:pStyle w:val="Nagwek1"/>
              <w:snapToGrid w:val="0"/>
              <w:ind w:left="0" w:firstLine="0"/>
              <w:rPr>
                <w:rFonts w:asciiTheme="minorHAnsi" w:hAnsiTheme="minorHAnsi" w:cstheme="minorHAnsi"/>
                <w:bCs/>
                <w:iCs/>
                <w:sz w:val="20"/>
              </w:rPr>
            </w:pPr>
            <w:r w:rsidRPr="001E16EE">
              <w:rPr>
                <w:rFonts w:asciiTheme="minorHAnsi" w:hAnsiTheme="minorHAnsi" w:cstheme="minorHAnsi"/>
                <w:bCs/>
                <w:iCs/>
                <w:sz w:val="20"/>
              </w:rPr>
              <w:t>Wymiana każdego podzespołu na nowy po pierwszej  nieskutecznej próbie jego naprawy</w:t>
            </w:r>
            <w:r w:rsidR="001E16EE" w:rsidRPr="001E16EE">
              <w:rPr>
                <w:rFonts w:asciiTheme="minorHAnsi" w:hAnsiTheme="minorHAnsi" w:cstheme="minorHAnsi"/>
                <w:bCs/>
                <w:iCs/>
                <w:sz w:val="20"/>
              </w:rPr>
              <w:t xml:space="preserve">. </w:t>
            </w:r>
            <w:r w:rsidR="001E16EE" w:rsidRPr="007C6EC8">
              <w:rPr>
                <w:rFonts w:asciiTheme="minorHAnsi" w:hAnsiTheme="minorHAnsi" w:cstheme="minorHAnsi"/>
                <w:bCs/>
                <w:iCs/>
                <w:sz w:val="20"/>
                <w:highlight w:val="green"/>
              </w:rPr>
              <w:t xml:space="preserve">Jako podzespół zamawiający rozumie </w:t>
            </w:r>
            <w:r w:rsidR="001E16EE" w:rsidRPr="007C6EC8">
              <w:rPr>
                <w:rFonts w:asciiTheme="minorHAnsi" w:hAnsiTheme="minorHAnsi" w:cstheme="minorHAnsi"/>
                <w:sz w:val="20"/>
                <w:highlight w:val="green"/>
                <w:lang w:eastAsia="pl-PL"/>
              </w:rPr>
              <w:t>elementy składowe wymienionych wyżej urządzeń wchodzących w skład SPECT/CT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snapToGrid w:val="0"/>
              <w:ind w:left="0" w:firstLine="0"/>
              <w:rPr>
                <w:rFonts w:ascii="Calibri" w:hAnsi="Calibri" w:cs="Calibri"/>
                <w:bCs/>
                <w:iCs/>
                <w:sz w:val="20"/>
              </w:rPr>
            </w:pPr>
            <w:r w:rsidRPr="0074453D">
              <w:rPr>
                <w:rFonts w:ascii="Calibri" w:hAnsi="Calibri" w:cs="Calibri"/>
                <w:bCs/>
                <w:iCs/>
                <w:sz w:val="20"/>
              </w:rPr>
              <w:t xml:space="preserve">Zakończenie działań serwisowych – najpóźniej w czasie </w:t>
            </w:r>
            <w:r w:rsidR="007C6EC8">
              <w:rPr>
                <w:rFonts w:ascii="Calibri" w:hAnsi="Calibri" w:cs="Calibri"/>
                <w:bCs/>
                <w:iCs/>
                <w:sz w:val="20"/>
              </w:rPr>
              <w:t xml:space="preserve">nie dłuższym niż 3 dni </w:t>
            </w:r>
            <w:r w:rsidR="007C6EC8" w:rsidRPr="00EA3535">
              <w:rPr>
                <w:rFonts w:ascii="Calibri" w:hAnsi="Calibri" w:cs="Calibri"/>
                <w:bCs/>
                <w:iCs/>
                <w:sz w:val="20"/>
              </w:rPr>
              <w:t>robocze</w:t>
            </w:r>
            <w:r w:rsidR="00EF385B">
              <w:rPr>
                <w:rFonts w:ascii="Calibri" w:hAnsi="Calibri" w:cs="Calibri"/>
                <w:sz w:val="20"/>
                <w:lang w:eastAsia="pl-PL"/>
              </w:rPr>
              <w:t xml:space="preserve">, </w:t>
            </w:r>
            <w:r w:rsidRPr="0074453D">
              <w:rPr>
                <w:rFonts w:ascii="Calibri" w:hAnsi="Calibri" w:cs="Calibri"/>
                <w:bCs/>
                <w:iCs/>
                <w:sz w:val="20"/>
              </w:rPr>
              <w:t>od dnia zgłoszenia awarii, a w przypadku konieczności importu części zamiennych, nie dłuższym niż 7 dni roboczych od dnia zgłoszenia awarii</w:t>
            </w:r>
            <w:r w:rsidR="00EF385B">
              <w:rPr>
                <w:rFonts w:ascii="Calibri" w:hAnsi="Calibri" w:cs="Calibri"/>
                <w:bCs/>
                <w:iCs/>
                <w:sz w:val="20"/>
              </w:rPr>
              <w: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sz w:val="20"/>
              </w:rPr>
            </w:pPr>
            <w:r w:rsidRPr="0074453D">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09"/>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r w:rsidR="00EF385B">
              <w:rPr>
                <w:rFonts w:ascii="Calibri" w:hAnsi="Calibri" w:cs="Calibri"/>
                <w:bCs/>
                <w:iCs/>
                <w:sz w:val="20"/>
              </w:rPr>
              <w:t xml:space="preserve">, </w:t>
            </w:r>
            <w:r w:rsidR="00EF385B" w:rsidRPr="007C6EC8">
              <w:rPr>
                <w:rFonts w:ascii="Calibri" w:hAnsi="Calibri" w:cs="Calibri"/>
                <w:bCs/>
                <w:iCs/>
                <w:sz w:val="20"/>
                <w:highlight w:val="green"/>
              </w:rPr>
              <w:t>celem umożliwienia przeprowadzenia przeglądu pogwarancyjnego.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6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SZKOLENIA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z w:val="20"/>
                <w:highlight w:val="green"/>
              </w:rPr>
            </w:pPr>
            <w:r w:rsidRPr="0074453D">
              <w:rPr>
                <w:rFonts w:ascii="Calibri" w:hAnsi="Calibri" w:cs="Calibri"/>
                <w:bCs/>
                <w:iCs/>
                <w:sz w:val="20"/>
              </w:rPr>
              <w:t xml:space="preserve">Szkolenia dla personelu  medycznego z zakresu obsługi urządzeń min. 16 osób z </w:t>
            </w:r>
            <w:r w:rsidRPr="00C97377">
              <w:rPr>
                <w:rFonts w:ascii="Calibri" w:hAnsi="Calibri" w:cs="Calibri"/>
                <w:bCs/>
                <w:iCs/>
                <w:sz w:val="20"/>
              </w:rPr>
              <w:t>możliwością podziału i szkolenia w mniejszych podgrupach) w terminie uzgodnionym</w:t>
            </w:r>
            <w:r w:rsidRPr="00246C78">
              <w:rPr>
                <w:rFonts w:ascii="Calibri" w:hAnsi="Calibri" w:cs="Calibri"/>
                <w:bCs/>
                <w:iCs/>
                <w:kern w:val="20"/>
                <w:sz w:val="20"/>
              </w:rPr>
              <w:t>; w razie potrzeby możliwość stałego wsparcia aplikacyjnego w początkowym (do 6  -ciu miesięcy) okresie pracy urządzeń</w:t>
            </w:r>
            <w:r w:rsidR="00246C78">
              <w:rPr>
                <w:rFonts w:ascii="Calibri" w:hAnsi="Calibri" w:cs="Calibri"/>
                <w:bCs/>
                <w:iCs/>
                <w:kern w:val="20"/>
                <w:sz w:val="20"/>
                <w:highlight w:val="green"/>
              </w:rPr>
              <w:t xml:space="preserve"> </w:t>
            </w:r>
            <w:r w:rsidRPr="00977DE9">
              <w:rPr>
                <w:rFonts w:ascii="Calibri" w:hAnsi="Calibri" w:cs="Calibri"/>
                <w:bCs/>
                <w:iCs/>
                <w:strike/>
                <w:kern w:val="20"/>
                <w:sz w:val="20"/>
                <w:highlight w:val="green"/>
              </w:rPr>
              <w:t>(dodatkowe szkolenie, dodatkowa grupa osób, konsultacje, itp</w:t>
            </w:r>
            <w:r w:rsidRPr="00977DE9">
              <w:rPr>
                <w:rFonts w:ascii="Calibri" w:hAnsi="Calibri" w:cs="Calibri"/>
                <w:bCs/>
                <w:iCs/>
                <w:sz w:val="20"/>
                <w:highlight w:val="green"/>
              </w:rPr>
              <w:t>.)</w:t>
            </w:r>
          </w:p>
          <w:p w:rsidR="007C6EC8" w:rsidRPr="00977DE9" w:rsidRDefault="00775552" w:rsidP="00C97377">
            <w:pPr>
              <w:rPr>
                <w:sz w:val="20"/>
                <w:szCs w:val="20"/>
                <w:highlight w:val="green"/>
                <w:lang w:eastAsia="ar-SA"/>
              </w:rPr>
            </w:pPr>
            <w:r w:rsidRPr="00977DE9">
              <w:rPr>
                <w:sz w:val="20"/>
                <w:szCs w:val="20"/>
                <w:highlight w:val="green"/>
                <w:lang w:eastAsia="ar-SA"/>
              </w:rPr>
              <w:t>Łącznie 12 dni szkoleń 8h/ dzień. 8 dni po uruchomieniu, pozostałe 4 dni w czasie trwania gwarancji.</w:t>
            </w:r>
            <w:r w:rsidR="001E16EE" w:rsidRPr="00977DE9">
              <w:rPr>
                <w:sz w:val="20"/>
                <w:szCs w:val="20"/>
                <w:highlight w:val="green"/>
                <w:lang w:eastAsia="ar-SA"/>
              </w:rPr>
              <w:t xml:space="preserve"> </w:t>
            </w:r>
          </w:p>
          <w:p w:rsidR="00775552" w:rsidRPr="00C97377" w:rsidRDefault="001E16EE" w:rsidP="00C97377">
            <w:pPr>
              <w:rPr>
                <w:lang w:eastAsia="ar-SA"/>
              </w:rPr>
            </w:pPr>
            <w:r w:rsidRPr="00977DE9">
              <w:rPr>
                <w:sz w:val="20"/>
                <w:szCs w:val="20"/>
                <w:highlight w:val="green"/>
                <w:lang w:eastAsia="ar-SA"/>
              </w:rPr>
              <w:t>Szkolenia wymagające izotopów po uzyskaniu pozwoleń PAA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24"/>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4957D7">
            <w:pPr>
              <w:pStyle w:val="Nagwek1"/>
              <w:ind w:left="0" w:firstLine="0"/>
              <w:rPr>
                <w:rFonts w:ascii="Calibri" w:hAnsi="Calibri" w:cs="Calibri"/>
                <w:bCs/>
                <w:iCs/>
                <w:sz w:val="20"/>
                <w:highlight w:val="cyan"/>
              </w:rPr>
            </w:pPr>
            <w:r w:rsidRPr="00977DE9">
              <w:rPr>
                <w:rFonts w:ascii="Calibri" w:hAnsi="Calibri" w:cs="Calibri"/>
                <w:bCs/>
                <w:iCs/>
                <w:sz w:val="20"/>
              </w:rPr>
              <w:t xml:space="preserve">Szkolenia dla personelu technicznego (4 osoby) z zakresu podstawowej diagnostyki stanu technicznego i wykonywania podstawowych czynności konserwacyjnych; </w:t>
            </w:r>
            <w:r w:rsidRPr="00246C78">
              <w:rPr>
                <w:rFonts w:ascii="Calibri" w:hAnsi="Calibri" w:cs="Calibri"/>
                <w:bCs/>
                <w:iCs/>
                <w:strike/>
                <w:sz w:val="20"/>
                <w:highlight w:val="green"/>
              </w:rPr>
              <w:t>w razie potrzeby możliwość stałego wsparcia aplikacyjnego w początkowym (do 6-iu miesięcy) okresie pracy urządzeń - dodatkowe szkolenie, dodatkowa grupa osób, konsultacje itp.</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2F3D91">
            <w:pPr>
              <w:pStyle w:val="Nagwek1"/>
              <w:snapToGrid w:val="0"/>
              <w:ind w:left="0" w:firstLine="0"/>
              <w:rPr>
                <w:rFonts w:ascii="Calibri" w:hAnsi="Calibri" w:cs="Calibri"/>
                <w:bCs/>
                <w:iCs/>
                <w:sz w:val="20"/>
                <w:highlight w:val="cyan"/>
              </w:rPr>
            </w:pPr>
            <w:r w:rsidRPr="00977DE9">
              <w:rPr>
                <w:rFonts w:ascii="Calibri" w:hAnsi="Calibri" w:cs="Calibri"/>
                <w:bCs/>
                <w:iCs/>
                <w:sz w:val="20"/>
              </w:rPr>
              <w:t>Szkolenia dla informatyków (3 osoby) z zakresu podstawowej konfiguracji i diagnostyki elementów komunikacji sieciowej TCP/IP i DICOM</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977DE9" w:rsidTr="004A022F">
        <w:trPr>
          <w:tblHeader/>
        </w:trPr>
        <w:tc>
          <w:tcPr>
            <w:tcW w:w="567" w:type="dxa"/>
            <w:shd w:val="clear" w:color="auto" w:fill="FFFFFF"/>
            <w:vAlign w:val="center"/>
          </w:tcPr>
          <w:p w:rsidR="00775552" w:rsidRPr="00977DE9" w:rsidRDefault="00775552" w:rsidP="004A022F">
            <w:pPr>
              <w:pStyle w:val="Zawartotabeli"/>
              <w:numPr>
                <w:ilvl w:val="0"/>
                <w:numId w:val="17"/>
              </w:numPr>
              <w:snapToGrid w:val="0"/>
              <w:ind w:left="512" w:hanging="512"/>
              <w:rPr>
                <w:rFonts w:ascii="Calibri" w:hAnsi="Calibri" w:cs="Calibri"/>
                <w:strike/>
                <w:sz w:val="20"/>
                <w:szCs w:val="20"/>
                <w:highlight w:val="green"/>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Liczba i okres szkoleń:</w:t>
            </w:r>
          </w:p>
          <w:p w:rsidR="00775552" w:rsidRPr="00977DE9" w:rsidRDefault="00775552" w:rsidP="00463205">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pierwsze szkolenie - tuż po instalacji systemu, w wymiarze do 2 dni roboczych dodatkowe, w razie potrzeby, w innym terminie ustalonym z kierownikiem pracowni,</w:t>
            </w:r>
          </w:p>
          <w:p w:rsidR="00775552" w:rsidRPr="00977DE9" w:rsidRDefault="00775552" w:rsidP="002F3D91">
            <w:pPr>
              <w:pStyle w:val="Nagwek1"/>
              <w:snapToGrid w:val="0"/>
              <w:ind w:left="0" w:firstLine="0"/>
              <w:rPr>
                <w:rFonts w:ascii="Calibri" w:hAnsi="Calibri" w:cs="Calibri"/>
                <w:bCs/>
                <w:iCs/>
                <w:strike/>
                <w:sz w:val="20"/>
                <w:highlight w:val="green"/>
              </w:rPr>
            </w:pPr>
          </w:p>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Uwaga – szkolenie dodatkowe w identycznym wymiarze osobowym jak wyżej</w:t>
            </w:r>
          </w:p>
        </w:tc>
        <w:tc>
          <w:tcPr>
            <w:tcW w:w="1984" w:type="dxa"/>
            <w:shd w:val="clear" w:color="auto" w:fill="FFFFFF"/>
            <w:vAlign w:val="center"/>
          </w:tcPr>
          <w:p w:rsidR="00775552" w:rsidRPr="00977DE9" w:rsidRDefault="00775552" w:rsidP="00FD0D68">
            <w:pPr>
              <w:jc w:val="center"/>
              <w:rPr>
                <w:rFonts w:cs="Calibri"/>
                <w:strike/>
                <w:highlight w:val="green"/>
              </w:rPr>
            </w:pPr>
            <w:r w:rsidRPr="00977DE9">
              <w:rPr>
                <w:rFonts w:cs="Calibri"/>
                <w:strike/>
                <w:sz w:val="20"/>
                <w:szCs w:val="20"/>
                <w:highlight w:val="green"/>
              </w:rPr>
              <w:t>TAK</w:t>
            </w:r>
          </w:p>
        </w:tc>
        <w:tc>
          <w:tcPr>
            <w:tcW w:w="3119" w:type="dxa"/>
            <w:shd w:val="clear" w:color="auto" w:fill="FFFFFF"/>
            <w:vAlign w:val="center"/>
          </w:tcPr>
          <w:p w:rsidR="00775552" w:rsidRPr="00977DE9" w:rsidRDefault="00775552" w:rsidP="002F3D91">
            <w:pPr>
              <w:pStyle w:val="Zawartotabeli"/>
              <w:snapToGrid w:val="0"/>
              <w:jc w:val="center"/>
              <w:rPr>
                <w:rFonts w:ascii="Calibri" w:hAnsi="Calibri" w:cs="Calibri"/>
                <w:strike/>
                <w:sz w:val="20"/>
                <w:szCs w:val="20"/>
                <w:highlight w:val="green"/>
              </w:rPr>
            </w:pPr>
          </w:p>
        </w:tc>
        <w:tc>
          <w:tcPr>
            <w:tcW w:w="3260" w:type="dxa"/>
            <w:shd w:val="clear" w:color="auto" w:fill="FFFFFF"/>
            <w:vAlign w:val="center"/>
          </w:tcPr>
          <w:p w:rsidR="00775552" w:rsidRPr="00977DE9" w:rsidRDefault="00775552" w:rsidP="0052237E">
            <w:pPr>
              <w:spacing w:line="288" w:lineRule="auto"/>
              <w:jc w:val="center"/>
              <w:rPr>
                <w:rFonts w:cs="Calibri"/>
                <w:strike/>
                <w:sz w:val="16"/>
                <w:szCs w:val="16"/>
                <w:highlight w:val="green"/>
              </w:rPr>
            </w:pPr>
            <w:r w:rsidRPr="00977DE9">
              <w:rPr>
                <w:rFonts w:cs="Calibri"/>
                <w:strike/>
                <w:sz w:val="20"/>
                <w:szCs w:val="20"/>
                <w:highlight w:val="green"/>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4A022F">
            <w:pPr>
              <w:pStyle w:val="Nagwek1"/>
              <w:snapToGrid w:val="0"/>
              <w:ind w:left="0" w:firstLine="0"/>
              <w:rPr>
                <w:rFonts w:ascii="Calibri" w:hAnsi="Calibri" w:cs="Calibri"/>
                <w:bCs/>
                <w:iCs/>
                <w:sz w:val="20"/>
              </w:rPr>
            </w:pPr>
            <w:r w:rsidRPr="0074453D">
              <w:rPr>
                <w:rFonts w:ascii="Calibri" w:hAnsi="Calibri" w:cs="Calibri"/>
                <w:bCs/>
                <w:iCs/>
                <w:sz w:val="20"/>
              </w:rPr>
              <w:t>Szkolenie aplikacyjne</w:t>
            </w:r>
            <w:r w:rsidR="00A20CFC">
              <w:rPr>
                <w:rFonts w:ascii="Calibri" w:hAnsi="Calibri" w:cs="Calibri"/>
                <w:bCs/>
                <w:iCs/>
                <w:sz w:val="20"/>
              </w:rPr>
              <w:t xml:space="preserve"> </w:t>
            </w:r>
            <w:r w:rsidR="00A20CFC" w:rsidRPr="00977DE9">
              <w:rPr>
                <w:rFonts w:ascii="Calibri" w:hAnsi="Calibri" w:cs="Calibri"/>
                <w:bCs/>
                <w:iCs/>
                <w:sz w:val="20"/>
                <w:highlight w:val="green"/>
              </w:rPr>
              <w:t>(dodatkowe)</w:t>
            </w:r>
            <w:r w:rsidRPr="0074453D">
              <w:rPr>
                <w:rFonts w:ascii="Calibri" w:hAnsi="Calibri" w:cs="Calibri"/>
                <w:bCs/>
                <w:iCs/>
                <w:sz w:val="20"/>
              </w:rPr>
              <w:t xml:space="preserve"> w miejscu pracy urządzenia po uruchomieniu i uzyskaniu wszelkich pozwoleń, przez cały oferowany okres gwarancji w wymiarze minimum 5 dni rocznie. </w:t>
            </w:r>
          </w:p>
        </w:tc>
        <w:tc>
          <w:tcPr>
            <w:tcW w:w="1984" w:type="dxa"/>
            <w:shd w:val="clear" w:color="auto" w:fill="FFFFFF"/>
            <w:vAlign w:val="center"/>
          </w:tcPr>
          <w:p w:rsidR="00775552" w:rsidRPr="0074453D" w:rsidRDefault="00775552" w:rsidP="009C445D">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9C445D">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3"/>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DOKUMENTACJA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926"/>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Dokumentacja (lub tzw. lista kontrolna zawierająca wykaz części i czynności) dotycząca przeglądów technicznych w języku polskim (dostarczona przy dostawie)</w:t>
            </w:r>
          </w:p>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mycia i dezynfekcji poszczególnych elementów aparatów w oparciu o przedstawione przez wykonawcę zalecane preparaty myjące i dezynfekujące.</w:t>
            </w:r>
          </w:p>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b/>
                <w:sz w:val="20"/>
                <w:szCs w:val="20"/>
              </w:rPr>
            </w:pPr>
            <w:r w:rsidRPr="0074453D">
              <w:rPr>
                <w:rFonts w:cs="Calibri"/>
                <w:b/>
                <w:bCs/>
                <w:iCs/>
                <w:sz w:val="20"/>
              </w:rPr>
              <w:t>INNE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957D7">
      <w:pPr>
        <w:rPr>
          <w:rFonts w:cs="Calibri"/>
          <w:sz w:val="20"/>
          <w:szCs w:val="20"/>
        </w:rPr>
      </w:pPr>
    </w:p>
    <w:sectPr w:rsidR="00775552" w:rsidRPr="0074453D" w:rsidSect="002F1DBF">
      <w:headerReference w:type="default" r:id="rId8"/>
      <w:footerReference w:type="default" r:id="rId9"/>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0F6" w:rsidRDefault="006E10F6" w:rsidP="00800A7F">
      <w:pPr>
        <w:spacing w:after="0" w:line="240" w:lineRule="auto"/>
      </w:pPr>
      <w:r>
        <w:separator/>
      </w:r>
    </w:p>
  </w:endnote>
  <w:endnote w:type="continuationSeparator" w:id="0">
    <w:p w:rsidR="006E10F6" w:rsidRDefault="006E10F6"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28" w:rsidRDefault="00996F28">
    <w:pPr>
      <w:pStyle w:val="Stopka"/>
    </w:pPr>
    <w:r>
      <w:fldChar w:fldCharType="begin"/>
    </w:r>
    <w:r>
      <w:instrText>PAGE   \* MERGEFORMAT</w:instrText>
    </w:r>
    <w:r>
      <w:fldChar w:fldCharType="separate"/>
    </w:r>
    <w:r w:rsidR="00407937">
      <w:rPr>
        <w:noProof/>
      </w:rPr>
      <w:t>1</w:t>
    </w:r>
    <w:r>
      <w:rPr>
        <w:noProof/>
      </w:rPr>
      <w:fldChar w:fldCharType="end"/>
    </w:r>
  </w:p>
  <w:p w:rsidR="00996F28" w:rsidRDefault="00996F28"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0F6" w:rsidRDefault="006E10F6" w:rsidP="00800A7F">
      <w:pPr>
        <w:spacing w:after="0" w:line="240" w:lineRule="auto"/>
      </w:pPr>
      <w:r>
        <w:separator/>
      </w:r>
    </w:p>
  </w:footnote>
  <w:footnote w:type="continuationSeparator" w:id="0">
    <w:p w:rsidR="006E10F6" w:rsidRDefault="006E10F6" w:rsidP="0080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28" w:rsidRDefault="00996F28"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drawing>
        <wp:inline distT="0" distB="0" distL="0" distR="0">
          <wp:extent cx="7559675" cy="867410"/>
          <wp:effectExtent l="0" t="0" r="317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7410"/>
                  </a:xfrm>
                  <a:prstGeom prst="rect">
                    <a:avLst/>
                  </a:prstGeom>
                  <a:noFill/>
                  <a:ln>
                    <a:noFill/>
                  </a:ln>
                </pic:spPr>
              </pic:pic>
            </a:graphicData>
          </a:graphic>
        </wp:inline>
      </w:drawing>
    </w:r>
  </w:p>
  <w:p w:rsidR="00996F28" w:rsidRDefault="00996F28"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996F28" w:rsidRPr="00765BF1" w:rsidRDefault="00996F28"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996F28" w:rsidRDefault="00996F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nsid w:val="785D5CEC"/>
    <w:multiLevelType w:val="hybridMultilevel"/>
    <w:tmpl w:val="08EED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2C"/>
    <w:rsid w:val="000070F6"/>
    <w:rsid w:val="000113DA"/>
    <w:rsid w:val="00032F76"/>
    <w:rsid w:val="00033C2D"/>
    <w:rsid w:val="00044D50"/>
    <w:rsid w:val="00045ED8"/>
    <w:rsid w:val="000558C8"/>
    <w:rsid w:val="00071086"/>
    <w:rsid w:val="00080D72"/>
    <w:rsid w:val="00096248"/>
    <w:rsid w:val="000A1925"/>
    <w:rsid w:val="000A56F1"/>
    <w:rsid w:val="000B630F"/>
    <w:rsid w:val="000B7780"/>
    <w:rsid w:val="000D5A1B"/>
    <w:rsid w:val="000D6BBD"/>
    <w:rsid w:val="000F75A5"/>
    <w:rsid w:val="000F7D31"/>
    <w:rsid w:val="0010777A"/>
    <w:rsid w:val="001127F7"/>
    <w:rsid w:val="00117E28"/>
    <w:rsid w:val="00126214"/>
    <w:rsid w:val="00136487"/>
    <w:rsid w:val="0014494C"/>
    <w:rsid w:val="00145458"/>
    <w:rsid w:val="00176DFC"/>
    <w:rsid w:val="00193DE3"/>
    <w:rsid w:val="001A1C77"/>
    <w:rsid w:val="001B478E"/>
    <w:rsid w:val="001B6B51"/>
    <w:rsid w:val="001C3FC0"/>
    <w:rsid w:val="001D343F"/>
    <w:rsid w:val="001E16EE"/>
    <w:rsid w:val="001E7072"/>
    <w:rsid w:val="002027D6"/>
    <w:rsid w:val="00226E6D"/>
    <w:rsid w:val="002348F8"/>
    <w:rsid w:val="00245625"/>
    <w:rsid w:val="00246C78"/>
    <w:rsid w:val="00247AF4"/>
    <w:rsid w:val="002510B5"/>
    <w:rsid w:val="00252BDF"/>
    <w:rsid w:val="00264EAE"/>
    <w:rsid w:val="00287008"/>
    <w:rsid w:val="00293383"/>
    <w:rsid w:val="002A4721"/>
    <w:rsid w:val="002A737F"/>
    <w:rsid w:val="002B072E"/>
    <w:rsid w:val="002B19B1"/>
    <w:rsid w:val="002B1EA4"/>
    <w:rsid w:val="002D1101"/>
    <w:rsid w:val="002F1DBF"/>
    <w:rsid w:val="002F3D91"/>
    <w:rsid w:val="00300FDE"/>
    <w:rsid w:val="0030686A"/>
    <w:rsid w:val="00307497"/>
    <w:rsid w:val="00310618"/>
    <w:rsid w:val="00320E72"/>
    <w:rsid w:val="00333BEE"/>
    <w:rsid w:val="00335AA9"/>
    <w:rsid w:val="00353531"/>
    <w:rsid w:val="00353E57"/>
    <w:rsid w:val="00353FA6"/>
    <w:rsid w:val="00362A31"/>
    <w:rsid w:val="0036534D"/>
    <w:rsid w:val="003A7823"/>
    <w:rsid w:val="003C1D1D"/>
    <w:rsid w:val="003D0A9A"/>
    <w:rsid w:val="003E047A"/>
    <w:rsid w:val="003E618C"/>
    <w:rsid w:val="003E6C49"/>
    <w:rsid w:val="00407937"/>
    <w:rsid w:val="00417F17"/>
    <w:rsid w:val="0042384D"/>
    <w:rsid w:val="00436FF7"/>
    <w:rsid w:val="0044249E"/>
    <w:rsid w:val="00447E77"/>
    <w:rsid w:val="004508E2"/>
    <w:rsid w:val="00463205"/>
    <w:rsid w:val="00471A21"/>
    <w:rsid w:val="004957D7"/>
    <w:rsid w:val="004A022F"/>
    <w:rsid w:val="004A26EA"/>
    <w:rsid w:val="004A38CD"/>
    <w:rsid w:val="004B052C"/>
    <w:rsid w:val="004B2889"/>
    <w:rsid w:val="004C58F5"/>
    <w:rsid w:val="004D00C1"/>
    <w:rsid w:val="004E55D2"/>
    <w:rsid w:val="004F4DA4"/>
    <w:rsid w:val="005022BA"/>
    <w:rsid w:val="00504F1C"/>
    <w:rsid w:val="00507E93"/>
    <w:rsid w:val="0052237E"/>
    <w:rsid w:val="005253AC"/>
    <w:rsid w:val="00525528"/>
    <w:rsid w:val="00550413"/>
    <w:rsid w:val="00551458"/>
    <w:rsid w:val="00555062"/>
    <w:rsid w:val="005629EB"/>
    <w:rsid w:val="005674DE"/>
    <w:rsid w:val="00582EC1"/>
    <w:rsid w:val="0058362A"/>
    <w:rsid w:val="0059281A"/>
    <w:rsid w:val="005963C0"/>
    <w:rsid w:val="005A17DA"/>
    <w:rsid w:val="005A59F2"/>
    <w:rsid w:val="005B4DD5"/>
    <w:rsid w:val="005B70CD"/>
    <w:rsid w:val="005C215E"/>
    <w:rsid w:val="005C7137"/>
    <w:rsid w:val="005D03B8"/>
    <w:rsid w:val="005E399E"/>
    <w:rsid w:val="005E447D"/>
    <w:rsid w:val="006015DB"/>
    <w:rsid w:val="00603173"/>
    <w:rsid w:val="006118BA"/>
    <w:rsid w:val="00622FA9"/>
    <w:rsid w:val="0062395E"/>
    <w:rsid w:val="00626CF1"/>
    <w:rsid w:val="006313C3"/>
    <w:rsid w:val="00641A57"/>
    <w:rsid w:val="006454D5"/>
    <w:rsid w:val="00660492"/>
    <w:rsid w:val="00663CAD"/>
    <w:rsid w:val="00666014"/>
    <w:rsid w:val="006741DD"/>
    <w:rsid w:val="0068553D"/>
    <w:rsid w:val="006857EF"/>
    <w:rsid w:val="006D7187"/>
    <w:rsid w:val="006E10F6"/>
    <w:rsid w:val="006E469B"/>
    <w:rsid w:val="006F522C"/>
    <w:rsid w:val="006F7B5A"/>
    <w:rsid w:val="0070304D"/>
    <w:rsid w:val="00711F46"/>
    <w:rsid w:val="00713F35"/>
    <w:rsid w:val="0072583D"/>
    <w:rsid w:val="00726F07"/>
    <w:rsid w:val="0073280D"/>
    <w:rsid w:val="007332E5"/>
    <w:rsid w:val="00740389"/>
    <w:rsid w:val="0074453D"/>
    <w:rsid w:val="00746D6F"/>
    <w:rsid w:val="00750AC6"/>
    <w:rsid w:val="00754880"/>
    <w:rsid w:val="00761BFA"/>
    <w:rsid w:val="00765BF1"/>
    <w:rsid w:val="00775552"/>
    <w:rsid w:val="007955E5"/>
    <w:rsid w:val="007B3FDC"/>
    <w:rsid w:val="007C0837"/>
    <w:rsid w:val="007C6EC8"/>
    <w:rsid w:val="007D2395"/>
    <w:rsid w:val="007E2DB1"/>
    <w:rsid w:val="007F1585"/>
    <w:rsid w:val="00800A7F"/>
    <w:rsid w:val="008014D8"/>
    <w:rsid w:val="00821559"/>
    <w:rsid w:val="00832657"/>
    <w:rsid w:val="00836009"/>
    <w:rsid w:val="00852909"/>
    <w:rsid w:val="00853C13"/>
    <w:rsid w:val="008665FC"/>
    <w:rsid w:val="00887CEE"/>
    <w:rsid w:val="008B2F34"/>
    <w:rsid w:val="008B30C8"/>
    <w:rsid w:val="008C3376"/>
    <w:rsid w:val="008D547D"/>
    <w:rsid w:val="008D785A"/>
    <w:rsid w:val="008E237B"/>
    <w:rsid w:val="008F443C"/>
    <w:rsid w:val="00900074"/>
    <w:rsid w:val="00904B9F"/>
    <w:rsid w:val="00910865"/>
    <w:rsid w:val="00913425"/>
    <w:rsid w:val="00924241"/>
    <w:rsid w:val="00930DB3"/>
    <w:rsid w:val="00933947"/>
    <w:rsid w:val="00941741"/>
    <w:rsid w:val="00941C61"/>
    <w:rsid w:val="009450C0"/>
    <w:rsid w:val="0095091A"/>
    <w:rsid w:val="00950D7C"/>
    <w:rsid w:val="009562E5"/>
    <w:rsid w:val="0095758F"/>
    <w:rsid w:val="009575DC"/>
    <w:rsid w:val="009614FC"/>
    <w:rsid w:val="00962702"/>
    <w:rsid w:val="00971B2F"/>
    <w:rsid w:val="00977DE9"/>
    <w:rsid w:val="009813E0"/>
    <w:rsid w:val="0098531C"/>
    <w:rsid w:val="00987705"/>
    <w:rsid w:val="009930B4"/>
    <w:rsid w:val="00996F28"/>
    <w:rsid w:val="009B693A"/>
    <w:rsid w:val="009C445D"/>
    <w:rsid w:val="009D23E4"/>
    <w:rsid w:val="009D591E"/>
    <w:rsid w:val="009D5AFD"/>
    <w:rsid w:val="009E606A"/>
    <w:rsid w:val="009F580A"/>
    <w:rsid w:val="00A0681B"/>
    <w:rsid w:val="00A10BB5"/>
    <w:rsid w:val="00A11D83"/>
    <w:rsid w:val="00A121A1"/>
    <w:rsid w:val="00A1799E"/>
    <w:rsid w:val="00A2075C"/>
    <w:rsid w:val="00A20CFC"/>
    <w:rsid w:val="00A25576"/>
    <w:rsid w:val="00A267CB"/>
    <w:rsid w:val="00A43E73"/>
    <w:rsid w:val="00A521DF"/>
    <w:rsid w:val="00A75145"/>
    <w:rsid w:val="00A76A47"/>
    <w:rsid w:val="00A80A9A"/>
    <w:rsid w:val="00A847FA"/>
    <w:rsid w:val="00A86F0A"/>
    <w:rsid w:val="00A917D5"/>
    <w:rsid w:val="00A95138"/>
    <w:rsid w:val="00A97E1A"/>
    <w:rsid w:val="00AC3B72"/>
    <w:rsid w:val="00AC4212"/>
    <w:rsid w:val="00AD036C"/>
    <w:rsid w:val="00AD12BA"/>
    <w:rsid w:val="00AE4380"/>
    <w:rsid w:val="00AF2E90"/>
    <w:rsid w:val="00AF37D3"/>
    <w:rsid w:val="00B12391"/>
    <w:rsid w:val="00B149F4"/>
    <w:rsid w:val="00B27161"/>
    <w:rsid w:val="00B43AB3"/>
    <w:rsid w:val="00B4511B"/>
    <w:rsid w:val="00B53A53"/>
    <w:rsid w:val="00B557B2"/>
    <w:rsid w:val="00B63E97"/>
    <w:rsid w:val="00B65390"/>
    <w:rsid w:val="00B65E19"/>
    <w:rsid w:val="00B6653F"/>
    <w:rsid w:val="00B743B5"/>
    <w:rsid w:val="00B74C13"/>
    <w:rsid w:val="00B76FDF"/>
    <w:rsid w:val="00BB2B5B"/>
    <w:rsid w:val="00BC1870"/>
    <w:rsid w:val="00BD227A"/>
    <w:rsid w:val="00BD4766"/>
    <w:rsid w:val="00BD641F"/>
    <w:rsid w:val="00BE0058"/>
    <w:rsid w:val="00BF3045"/>
    <w:rsid w:val="00BF4034"/>
    <w:rsid w:val="00C044C8"/>
    <w:rsid w:val="00C0785F"/>
    <w:rsid w:val="00C078F6"/>
    <w:rsid w:val="00C17001"/>
    <w:rsid w:val="00C2788C"/>
    <w:rsid w:val="00C3270A"/>
    <w:rsid w:val="00C3512C"/>
    <w:rsid w:val="00C414EB"/>
    <w:rsid w:val="00C43122"/>
    <w:rsid w:val="00C5768C"/>
    <w:rsid w:val="00C60D4F"/>
    <w:rsid w:val="00C65879"/>
    <w:rsid w:val="00C85D80"/>
    <w:rsid w:val="00C933B2"/>
    <w:rsid w:val="00C95C82"/>
    <w:rsid w:val="00C97377"/>
    <w:rsid w:val="00CC34E3"/>
    <w:rsid w:val="00D04679"/>
    <w:rsid w:val="00D1408D"/>
    <w:rsid w:val="00D16382"/>
    <w:rsid w:val="00D3451E"/>
    <w:rsid w:val="00D54991"/>
    <w:rsid w:val="00D6074F"/>
    <w:rsid w:val="00D72734"/>
    <w:rsid w:val="00D7696D"/>
    <w:rsid w:val="00D871B6"/>
    <w:rsid w:val="00DA5721"/>
    <w:rsid w:val="00DA5821"/>
    <w:rsid w:val="00DB0EF3"/>
    <w:rsid w:val="00DC2F08"/>
    <w:rsid w:val="00DC551A"/>
    <w:rsid w:val="00DD2882"/>
    <w:rsid w:val="00DF44AE"/>
    <w:rsid w:val="00E01790"/>
    <w:rsid w:val="00E27053"/>
    <w:rsid w:val="00E462A4"/>
    <w:rsid w:val="00E4786B"/>
    <w:rsid w:val="00E80B55"/>
    <w:rsid w:val="00E854DD"/>
    <w:rsid w:val="00E96A8F"/>
    <w:rsid w:val="00EA3535"/>
    <w:rsid w:val="00EC15AE"/>
    <w:rsid w:val="00EC20F8"/>
    <w:rsid w:val="00ED1FE9"/>
    <w:rsid w:val="00ED7942"/>
    <w:rsid w:val="00ED7ED5"/>
    <w:rsid w:val="00EE23B8"/>
    <w:rsid w:val="00EE6041"/>
    <w:rsid w:val="00EF385B"/>
    <w:rsid w:val="00EF7B5E"/>
    <w:rsid w:val="00F00CF2"/>
    <w:rsid w:val="00F01082"/>
    <w:rsid w:val="00F03730"/>
    <w:rsid w:val="00F041A8"/>
    <w:rsid w:val="00F2606E"/>
    <w:rsid w:val="00F36F9F"/>
    <w:rsid w:val="00F40F2E"/>
    <w:rsid w:val="00F4221A"/>
    <w:rsid w:val="00F635B5"/>
    <w:rsid w:val="00F65A70"/>
    <w:rsid w:val="00F85C00"/>
    <w:rsid w:val="00F9036D"/>
    <w:rsid w:val="00F965BE"/>
    <w:rsid w:val="00FA1DFE"/>
    <w:rsid w:val="00FA1F9C"/>
    <w:rsid w:val="00FB5AF7"/>
    <w:rsid w:val="00FC3313"/>
    <w:rsid w:val="00FC4BDF"/>
    <w:rsid w:val="00FD0D68"/>
    <w:rsid w:val="00FD3B93"/>
    <w:rsid w:val="00FE0AAE"/>
    <w:rsid w:val="00FF03BC"/>
    <w:rsid w:val="00FF1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9127</Words>
  <Characters>54762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2019-04-23T10:00:00Z</dcterms:created>
  <dcterms:modified xsi:type="dcterms:W3CDTF">2019-04-23T10:13:00Z</dcterms:modified>
</cp:coreProperties>
</file>