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E6" w:rsidRPr="00CE16E6" w:rsidRDefault="00CE16E6" w:rsidP="00CE16E6">
      <w:pPr>
        <w:pStyle w:val="Tytu"/>
        <w:rPr>
          <w:sz w:val="20"/>
          <w:szCs w:val="20"/>
        </w:rPr>
      </w:pPr>
      <w:r w:rsidRPr="00CE16E6">
        <w:rPr>
          <w:sz w:val="20"/>
          <w:szCs w:val="20"/>
        </w:rPr>
        <w:t>OPIS PRZEDMIOTU ZAMÓWIENIA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b/>
          <w:sz w:val="20"/>
          <w:szCs w:val="20"/>
        </w:rPr>
      </w:pPr>
    </w:p>
    <w:p w:rsidR="009A5449" w:rsidRPr="00CE16E6" w:rsidRDefault="009A5449" w:rsidP="009A5449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u w:val="single"/>
        </w:rPr>
      </w:pPr>
      <w:r w:rsidRPr="00CE16E6">
        <w:rPr>
          <w:rFonts w:ascii="Garamond" w:hAnsi="Garamond"/>
          <w:b/>
          <w:u w:val="single"/>
        </w:rPr>
        <w:t>Robot Neurochirurgiczny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Uwagi i objaśnienia: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18"/>
          <w:szCs w:val="18"/>
        </w:rPr>
      </w:pP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  <w:lang w:val="en-US"/>
        </w:rPr>
      </w:pPr>
      <w:r w:rsidRPr="00CE16E6">
        <w:rPr>
          <w:rFonts w:ascii="Garamond" w:hAnsi="Garamond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Wykonawca zobowiązany jest do podania parametrów w jednostkach wskazanych w niniejszym opisie.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E16E6">
        <w:rPr>
          <w:rFonts w:ascii="Garamond" w:hAnsi="Garamond"/>
          <w:sz w:val="18"/>
          <w:szCs w:val="18"/>
        </w:rPr>
        <w:t>rekondycjonowanym</w:t>
      </w:r>
      <w:proofErr w:type="spellEnd"/>
      <w:r w:rsidRPr="00CE16E6">
        <w:rPr>
          <w:rFonts w:ascii="Garamond" w:hAnsi="Garamond"/>
          <w:sz w:val="18"/>
          <w:szCs w:val="18"/>
        </w:rPr>
        <w:t>, powystawowym i nie był wykorzystywany wcześniej przez innego użytkownika.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Nazwa i typ: .............................................................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Producent / kraj produkcji: ........................................................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Rok produkcji (min. 2018): …..............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Klasa wyrobu medycznego: 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spacing w:line="288" w:lineRule="auto"/>
        <w:rPr>
          <w:rFonts w:ascii="Garamond" w:hAnsi="Garamond"/>
          <w:b/>
          <w:bCs/>
          <w:sz w:val="20"/>
          <w:szCs w:val="20"/>
        </w:rPr>
      </w:pPr>
      <w:r w:rsidRPr="00CE16E6">
        <w:rPr>
          <w:rFonts w:ascii="Garamond" w:hAnsi="Garamond"/>
          <w:b/>
          <w:bCs/>
          <w:sz w:val="20"/>
          <w:szCs w:val="20"/>
        </w:rPr>
        <w:t>Parametry techniczne i eksploatacyjne</w:t>
      </w: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4820"/>
        <w:gridCol w:w="1559"/>
        <w:gridCol w:w="4820"/>
        <w:gridCol w:w="2410"/>
      </w:tblGrid>
      <w:tr w:rsidR="009A5449" w:rsidRPr="00CE16E6" w:rsidTr="00460176">
        <w:tc>
          <w:tcPr>
            <w:tcW w:w="850" w:type="dxa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l.p.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b/>
                <w:sz w:val="16"/>
                <w:szCs w:val="16"/>
                <w:highlight w:val="yellow"/>
              </w:rPr>
            </w:pPr>
            <w:r w:rsidRPr="00CE16E6">
              <w:rPr>
                <w:rFonts w:ascii="Garamond" w:hAnsi="Garamond" w:cs="Arial"/>
                <w:b/>
                <w:sz w:val="16"/>
                <w:szCs w:val="16"/>
              </w:rPr>
              <w:t>OCENA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Ramię robota o min. sześciu stopniach swobody + manualny ruch liniowy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Ładowność ramienia – min.3,0 kg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Zakres pracy ramienia min. 600 mm (bez dodatkowych narzędzi)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Kąty rotacji: ±167°, -87° do 132°, -17° do +168°,   ±157°, ±117°, ±177°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Zakres kontroli dokładności &lt; 0,5 mm (bez narzędzia)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Hamulec bezpieczeństwa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Izolacja termiczna: typ BF, z dodaną izolacją elektryczną obwodu pacjenta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Mobilność: 4 koła + 3 hydraulicznie podnoszone stopki do unieruchomienia na ziemi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C17F24" w:rsidP="00C1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17F24">
              <w:rPr>
                <w:rFonts w:ascii="Garamond" w:hAnsi="Garamond" w:cs="Calibri"/>
                <w:sz w:val="20"/>
                <w:szCs w:val="20"/>
              </w:rPr>
              <w:t xml:space="preserve">Komputer min: procesor o wydajności gwarantującej obsługę wszystkich oferowanych funkcji, 8GB RAM, 2GB karta graficzna, DVD ±RW 8x, USB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Ekran: min 19” (48,3cm), proporcje obrazu 5:4 rozdzielczość 1280x1024, kąt widzenia min. 178°, aktywna matryca TFT LCD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przekątna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1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Zintegrowane czujniki momentu obrotowego w trybie dotykowym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Dokładność pozycjonowania ramienia robota &lt; 0,75mm RMS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Zakres roboczy ramienia:  min 820 [mm]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  <w:r w:rsidR="00556040">
              <w:rPr>
                <w:rFonts w:ascii="Garamond" w:hAnsi="Garamond" w:cs="Arial"/>
                <w:sz w:val="20"/>
                <w:szCs w:val="20"/>
                <w:lang w:eastAsia="ar-SA"/>
              </w:rPr>
              <w:t>, podać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Zasilanie: 115V~ lub 230V~, 50-60Hz, 8A przy 230V, 12A przy 115V transformator separacyjny 2,5kVA (CE), 2,0kVA (USA/Canada)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Długość kabla zasilającego: min 480 cm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Pole magnetyczne przy częstotliwości sieci 50/60HZ: min 3 A/m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Mobilny wózek do wsparcia ramienia robota i integracji platformy obliczeniowej z ekranem dotykowym. USB i CD-DVD interfejs, umożliwiający zablokowanie urządzenia za pomocą siłowników hydraulicznych.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sz w:val="20"/>
                <w:szCs w:val="20"/>
              </w:rPr>
              <w:t xml:space="preserve">Orientacyjne wymiary wózka min: h (wysokość?)=1500mm, </w:t>
            </w:r>
            <w:proofErr w:type="spellStart"/>
            <w:r w:rsidRPr="00CE16E6">
              <w:rPr>
                <w:rFonts w:ascii="Garamond" w:hAnsi="Garamond" w:cs="Calibri"/>
                <w:sz w:val="20"/>
                <w:szCs w:val="20"/>
              </w:rPr>
              <w:t>szer</w:t>
            </w:r>
            <w:proofErr w:type="spellEnd"/>
            <w:r w:rsidRPr="00CE16E6">
              <w:rPr>
                <w:rFonts w:ascii="Garamond" w:hAnsi="Garamond" w:cs="Calibri"/>
                <w:sz w:val="20"/>
                <w:szCs w:val="20"/>
              </w:rPr>
              <w:t>=650mm, dług=1205mm, +/- 5 [%]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sz w:val="20"/>
                <w:szCs w:val="20"/>
              </w:rPr>
              <w:t>Waga wózka - poniżej 350 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niższa niż wymagana – 1 pkt.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Interfejs PACS oprogramowania do podłączenia do sieci PACS poprzez Ethernet, umożliwiający import obrazów CT i MRI z wykorzystaniem standardu 3.0 DICOM.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Graficzny interfejs użytkownika do planowania operacyjnego, przedoperacyjnej nawigacji i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bezramowej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stereotaksji, umożliwiający zdefiniowanie do 20 niezależnych torów, 20 markerów i 10 obszarów zainteresowania, umożliwia import obrazów CT i MRI pacjenta za pośrednictwem płyty CD, DVD i USB z wykorzystaniem standardu DICOM 3.0 a także umożliwia zapisywanie folderów pacjenta zawierających planowane trajektorie, markery i obszary zainteresowania.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Mechaniczne ramię przegubowe do sztywnego mocowania wózka do uchwytu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kościotrzymacza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neurochirurgicznego.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Sonda mechaniczna do lokalizacji struktur anatomicznych podczas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neuronawigacji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Mechaniczny uchwyt do dokładnego kierowania narzędziami neurochirurgicznymi (np. do biopsji, stymulacji lub elektrody rejestrujące). Umieszczany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Zestaw adapterów narzędzi w celu dostosowania narzędzi chirurgicznych o różnych średnicach.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Sonda mechaniczna do lokalizacji markerów skóry podczas rejestracji.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oprogramowania do ręcznego rejestrowania pozycji pacjenta przy użyciu markerów skóry.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Optyczny czujnik odległości do bezdotykowej lokalizacji struktur anatomicznych,  do automatycznej rejestracji bez markerów i nawigacji bez użycia rąk.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do dopasowywania automatycznej rejestracji bez markerów.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do scalania wielu zestawów danych pacjenta,  umożliwiający ręczne ustawienie do 3 multimodalnych obrazów (CT lub MRI) z wykorzystaniem anatomicznych punktów orientacyjnych.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planowania chirurgicznego w neurochirurgii czynnościowej,  umożliwiający ustawienie obrazów pacjenta na układzie odniesienia AC-PC. Punkty odniesienia AC-PC są zdefiniowane ręcznie, umożliwia określenie współrzędnych docelowych w układzie odniesienia AC-PC.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do planowania 2D i rejestracji ze zdjęciami X-Ray 2D  przy użyciu wzorca kalibracji, umożliwiający scalanie zdjęć X-Ray 2D z  maksymalnie 2 zdjęciami CT lub MRI w 3D.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Narzędzie kalibracji z nieprzeziernym wzorcem, umożliwiający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Moduł oprogramowania do planowania 2D i rejestracji ze zdjęciami X-Ray 2D przy użyciu wzorca X-Ray dla ramy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Leksellu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, umożliwiający scalanie zdjęć X-Ray 2D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2D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 z maksymalnie 2 zdjęciami 3D CT lub MRI z ramą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Leksell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Kompatybilne narzędzie kalibracji  ramy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Leksell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z 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radionieprzeziernym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wzorcem, umożliwia ręczne rejestrowania obrazów 2D X-Ray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Moduł  oprogramowania do planowania 3D i rejestracji w ramy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Leksell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z użyciem wzorca kalibracji.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Narzędzie rejestracji rama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Leksell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-  robot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6C18F4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BE4FF0" w:rsidP="00BE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z w:val="20"/>
                <w:szCs w:val="20"/>
              </w:rPr>
              <w:t xml:space="preserve">Komputer z następującą minimalną konfiguracją:  - system operacyjny współpracujący z oferowanym aparatem, procesor o parametrach wymaganych przez producenta aparatu do obsługi wszystkich oferowanych funkcji,   - Ekran 15,4 cala,  - CD / DVD napęd optyczny; porty USB,- Karta graficzna zgodna z </w:t>
            </w:r>
            <w:proofErr w:type="spellStart"/>
            <w:r w:rsidRPr="006C18F4">
              <w:rPr>
                <w:rFonts w:ascii="Garamond" w:hAnsi="Garamond" w:cs="Calibri"/>
                <w:sz w:val="20"/>
                <w:szCs w:val="20"/>
              </w:rPr>
              <w:t>OpenGL</w:t>
            </w:r>
            <w:proofErr w:type="spellEnd"/>
            <w:r w:rsidRPr="006C18F4">
              <w:rPr>
                <w:rFonts w:ascii="Garamond" w:hAnsi="Garamond" w:cs="Calibri"/>
                <w:sz w:val="20"/>
                <w:szCs w:val="20"/>
              </w:rPr>
              <w:t xml:space="preserve">,  - Połączenie Ethernet interfejsu PACS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6C18F4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6C18F4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z w:val="20"/>
                <w:szCs w:val="20"/>
              </w:rPr>
              <w:t>Oprogramowanie do planowania chirurgicznego dla dodatkowej stacji planowania, umożliwiające zdefiniowanie do 20 niezależnych trajektorii, 20 markerów i 10 obszarów zainteresowania, umożliwia import obrazów CT i MRI pacjenta poprzez CD, DVD i USB przy użyciu standardu DICOM 3.0 a także umożliwia eksport folderów pacjenta zawierających planowane trajektorie, markery i regiony zainteresowania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6C18F4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6C18F4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z w:val="20"/>
                <w:szCs w:val="20"/>
              </w:rPr>
              <w:t>Interfejs oprogramowania do podłączenia do sieci PACS poprzez Ethernet,  umożliwiający import obrazów CT i MRI z wykorzystaniem standardu 3.0 DICOM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6C18F4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Moduł oprogramowania do neurochirurgii endoskopowej,  umożliwiający specyficzne planowanie chirurgiczne,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neuronawigację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i manipulację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robotyczną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endoskopem, umożliwia określenie stref bezpieczeństwa dla każdej trajektorii oraz zaawansowane tryby manipulacji endoskopu przy użyciu ruchów automatycznych.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Uchwyt mechaniczny do dokładnego mechanicznego kierowania endoskopem neurochirurgicznym podczas procedur komorowych i adapter do przystosowania specyficznego modelu endoskopu. Pozycjonowany przez ramię robota, zgodnie z planem przedoperacyjnym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Adaptor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do przystosowania uchwytu endoskopu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Moduł oprogramowania do endoskopowej neurochirurgii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przeznosoweju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umożliwiający specyficzne planowanie chirurgiczne,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neuronawigację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i manipulację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robotyczną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endoskopem, umożliwia określenie stref bezpieczeństwa dla każdej trajektorii oraz zaawansowane tryby manipulacji endoskopu przy użyciu ruchów automatycznych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Uchwyt mechaniczny dla dokładnego mechanicznego kierowania endoskopem neurochirurgicznym podczas procedur przez nosowych.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Urządzenie w konfiguracji do operacji kręgosłupa, wyposażone w system nawigacji otolaryngologicznej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6C18F4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z w:val="20"/>
                <w:szCs w:val="20"/>
              </w:rPr>
              <w:t>Kamera waga – poniżej 150 kg, orientacyjne wymiary: 200 x 90 x 90 cm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shd w:val="clear" w:color="auto" w:fill="auto"/>
          </w:tcPr>
          <w:p w:rsidR="009A5449" w:rsidRPr="006C18F4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wartość wagi wymagana – 0 pkt.</w:t>
            </w:r>
          </w:p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niższa niż wymagana – 1 pkt.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6C18F4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b/>
                <w:bCs/>
                <w:sz w:val="20"/>
                <w:szCs w:val="20"/>
              </w:rPr>
              <w:t>Materiały eksploatacyjne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6C18F4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6C18F4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z w:val="20"/>
                <w:szCs w:val="20"/>
              </w:rPr>
              <w:t>Sterylne obłożenia używane do obłożenia ramienia robota i ekranu dotykowego. Obłożenie ramienia: 30 "* 61" (76 * 155 cm) i obłożenie monitora: 30 "* 62" (76 * 157 cm).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6C18F4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Uchwyt do dokładnego mechanicznego kierowania narzędziami neurochirurgicznymi (np.: igły biopsyjne, różne elektrody). Pozycjonowany przez ramię robota zgodnie z planem przedoperacyjnym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Adaptor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do przystosowania narzędzi chirurgicznych o różnych średnicach. Przeznaczony do kierowania igłami biopsyjnymi, różnymi elektrodami.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Adapter do przystosowania uchwytu endoskopowego.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Uchwyt mechaniczny dla mikro napędu DBS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Medtronic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10 mm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Uchwyt mechaniczny dla mikro napędu DBS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Alpha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Omega 10 mm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Uchwyt mechaniczny dla dokładnego mechanicznego kierowania endoskopem neurochirurgicznym podczas procedur komorowych.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6C18F4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Uchwyt mechaniczny dla dokładnego mechanicznego kierowania endoskopem neurochirurgicznym podczas procedur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przeznosowych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6C18F4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6C18F4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6C18F4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z w:val="20"/>
                <w:szCs w:val="20"/>
              </w:rPr>
              <w:t>Narzędzie kalibracji z nieprzeziernym wzorcem, umożliwiające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6C18F4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5246A6" w:rsidRPr="006C18F4" w:rsidRDefault="005246A6" w:rsidP="005246A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5246A6" w:rsidRPr="006C18F4" w:rsidRDefault="005246A6" w:rsidP="0052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Narzędzie kalibracji z nieprzeziernym wzorcem kompatybilne z ramą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Leksellu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, umożliwia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46A6" w:rsidRPr="006C18F4" w:rsidRDefault="005246A6" w:rsidP="005246A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5246A6" w:rsidRPr="006C18F4" w:rsidRDefault="005246A6" w:rsidP="005246A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6C18F4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246A6" w:rsidRPr="006C18F4" w:rsidRDefault="005246A6" w:rsidP="005246A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6C18F4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5246A6" w:rsidRPr="006C18F4" w:rsidRDefault="005246A6" w:rsidP="005246A6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Narzędzie rejestracji rama </w:t>
            </w:r>
            <w:proofErr w:type="spellStart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>Leksell</w:t>
            </w:r>
            <w:proofErr w:type="spellEnd"/>
            <w:r w:rsidRPr="006C18F4">
              <w:rPr>
                <w:rFonts w:ascii="Garamond" w:hAnsi="Garamond" w:cs="Calibri"/>
                <w:strike/>
                <w:sz w:val="20"/>
                <w:szCs w:val="20"/>
              </w:rPr>
              <w:t xml:space="preserve"> -  robot.</w:t>
            </w:r>
          </w:p>
          <w:p w:rsidR="005246A6" w:rsidRPr="006C18F4" w:rsidRDefault="005246A6" w:rsidP="005246A6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z w:val="20"/>
                <w:szCs w:val="20"/>
              </w:rPr>
              <w:t>Rama stereotaktyczna spełniająca n/w wymagania: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Bazowy pierścień stereotaktyczny wykonany z trwałych i odpornych na odkształcanie stopów metali, mocowany do głowy pacjenta stabilnie 4 śrubami; śruby i łuk nie powinny powodować artefaktów w badaniu TK oraz MR mających wpływ na dokładność zabiegu (możliwe dwa zestawy śrub –odrębne do badania TK i MR).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Łuk stereotaktyczny, kompatybilny z ramą stereotaktyczną, wykonany z trwałych i odpornych na odkształcanie stopów metali.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 xml:space="preserve">W zestawie konieczne łączniki zapewniające sztywne połączenie ramy ze stołem operacyjnym (system </w:t>
            </w:r>
            <w:proofErr w:type="spellStart"/>
            <w:r w:rsidRPr="006C18F4">
              <w:rPr>
                <w:rFonts w:ascii="Garamond" w:hAnsi="Garamond"/>
                <w:sz w:val="20"/>
                <w:szCs w:val="20"/>
              </w:rPr>
              <w:t>Mayfield</w:t>
            </w:r>
            <w:proofErr w:type="spellEnd"/>
            <w:r w:rsidRPr="006C18F4">
              <w:rPr>
                <w:rFonts w:ascii="Garamond" w:hAnsi="Garamond"/>
                <w:sz w:val="20"/>
                <w:szCs w:val="20"/>
              </w:rPr>
              <w:t>) oraz aparatem TK (na czas badania) oraz MR (na czas badania).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W zestawie konieczny fantom (symulator punktu docelowego) do potwierdzenia lokalizacji celu zabiegu.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 xml:space="preserve">W zestawie konieczny lokalizator do przestrzennego lokalizowania celów na podstawie obrazowania TK w </w:t>
            </w:r>
            <w:r w:rsidRPr="006C18F4">
              <w:rPr>
                <w:rFonts w:ascii="Garamond" w:hAnsi="Garamond"/>
                <w:sz w:val="20"/>
                <w:szCs w:val="20"/>
              </w:rPr>
              <w:lastRenderedPageBreak/>
              <w:t>płaszczyźnie osiowej, kompatybilny z pozostałymi elementami oraz oprogramowaniem.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W zestawie konieczny lokalizator do przestrzennego lokalizowania celów na podstawie obrazowania MR w płaszczyźnie osiowej, kompatybilny z pozostałymi elementami oraz oprogramowaniem.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W zestawie konieczny wywzorcowany wskaźnik  do potwierdzenia współrzędnych celu  po nałożeniu ramy stereotaktycznej na symulator punktu docelowego.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W zestawie 2 igły biopsyjne wielorazowe, kompatybilne z układem ramy.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 xml:space="preserve">Łuk stereotaktyczny powinien być podparty z dwóch stron, zapewniając sztywność ramy oraz zachowanie odpowiedniej dokładności. 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 xml:space="preserve">Pierścień stereotaktyczny powinien zapewniać możliwość awaryjnej intubacji pacjenta bez zdejmowania pierścienia z głowy pacjenta. 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 xml:space="preserve">Rama powinna zapewniać możliwość dowolnego przestrzennego wyboru celu i trajektorii (w tym możliwość wyboru dostępu z boku oraz z tyłu).  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 xml:space="preserve">Rama powinna zapewniać możliwość zmiany ustawienia łuku względem głowy pacjenta i wprowadzenia poprawek współrzędnych w czasie zabiegu, w strefie sterylnej, bez konieczności demontażu całego łuku. 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Rama powinna posiadać wyraźne, dokładne skale do ustawiania współrzędnych przestrzennych, naniesione trwale na częściach składowych łuku i fantomu, pozwalające na precyzyjne ustawienie celu zabiegu , z dokładnością liniową 0,1mm.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Wielkość błędu całego układu przestrzennego nie powinna przekraczać 0,5mm.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lastRenderedPageBreak/>
              <w:t>Rama powinna posiadać łatwe w obsłudze śruby zaciskowe, zapewniające niezawodne ustalanie i zabezpieczenie nastaw na skalach współrzędnych przestrzennych.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Konieczna kompatybilność całego układu ramy z posiadanym w OK Neurochirurgii SU oprogramowaniem do planowania zabiegów stereotaktycznych lub zapewnien</w:t>
            </w:r>
            <w:r w:rsidR="00AB7D8C" w:rsidRPr="006C18F4">
              <w:rPr>
                <w:rFonts w:ascii="Garamond" w:hAnsi="Garamond"/>
                <w:sz w:val="20"/>
                <w:szCs w:val="20"/>
              </w:rPr>
              <w:t>ie odpowiedniego oprogramowania</w:t>
            </w:r>
            <w:r w:rsidRPr="006C18F4">
              <w:rPr>
                <w:rFonts w:ascii="Garamond" w:hAnsi="Garamond"/>
                <w:sz w:val="20"/>
                <w:szCs w:val="20"/>
              </w:rPr>
              <w:t>, kompatybilnego z systemem diagnostyki obrazowej stosowanym w SU.</w:t>
            </w:r>
          </w:p>
          <w:p w:rsidR="005246A6" w:rsidRPr="006C18F4" w:rsidRDefault="005246A6" w:rsidP="005246A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Rama powinna zapewniać możliwość sterylizacji wszystkich jej ele</w:t>
            </w:r>
            <w:r w:rsidR="009854EA" w:rsidRPr="006C18F4">
              <w:rPr>
                <w:rFonts w:ascii="Garamond" w:hAnsi="Garamond"/>
                <w:sz w:val="20"/>
                <w:szCs w:val="20"/>
              </w:rPr>
              <w:t>mentów w sterylizacji plazmowej</w:t>
            </w:r>
            <w:r w:rsidRPr="006C18F4">
              <w:rPr>
                <w:rFonts w:ascii="Garamond" w:hAnsi="Garamond"/>
                <w:sz w:val="20"/>
                <w:szCs w:val="20"/>
              </w:rPr>
              <w:t>, gazowej jak również parowej.</w:t>
            </w:r>
          </w:p>
          <w:p w:rsidR="009A5449" w:rsidRPr="006C18F4" w:rsidRDefault="005246A6" w:rsidP="002C439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6C18F4">
              <w:rPr>
                <w:rFonts w:ascii="Garamond" w:hAnsi="Garamond"/>
                <w:sz w:val="20"/>
                <w:szCs w:val="20"/>
              </w:rPr>
              <w:t>Możliwość zakupienia igieł biopsyjnych wielorazowych kompatybilnych z ramą i oprogramowaniem.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lastRenderedPageBreak/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6C18F4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6C18F4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z w:val="20"/>
                <w:szCs w:val="20"/>
              </w:rPr>
              <w:t xml:space="preserve">Mechaniczna sonda mechaniczna do lokalizacji struktur anatomicznych lub punktów orientacyjnych podczas </w:t>
            </w:r>
            <w:proofErr w:type="spellStart"/>
            <w:r w:rsidRPr="006C18F4">
              <w:rPr>
                <w:rFonts w:ascii="Garamond" w:hAnsi="Garamond" w:cs="Calibri"/>
                <w:sz w:val="20"/>
                <w:szCs w:val="20"/>
              </w:rPr>
              <w:t>neuronawigacji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6C18F4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6C18F4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6C18F4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6C18F4">
              <w:rPr>
                <w:rFonts w:ascii="Garamond" w:hAnsi="Garamond" w:cs="Calibri"/>
                <w:sz w:val="20"/>
                <w:szCs w:val="20"/>
              </w:rPr>
              <w:t>Mechaniczna sonda do lokalizacji markerów skórnych podczas rejestracji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6C18F4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6C18F4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6C18F4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</w:tbl>
    <w:p w:rsidR="009A5449" w:rsidRPr="00CE16E6" w:rsidRDefault="009A5449" w:rsidP="009A5449">
      <w:pPr>
        <w:spacing w:line="288" w:lineRule="auto"/>
        <w:rPr>
          <w:rFonts w:ascii="Garamond" w:hAnsi="Garamond"/>
        </w:rPr>
      </w:pPr>
    </w:p>
    <w:p w:rsidR="009A5449" w:rsidRPr="00CE16E6" w:rsidRDefault="009A5449" w:rsidP="009A5449">
      <w:pPr>
        <w:spacing w:after="0" w:line="288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CE16E6">
        <w:rPr>
          <w:rFonts w:ascii="Garamond" w:hAnsi="Garamond"/>
          <w:b/>
          <w:color w:val="000000" w:themeColor="text1"/>
          <w:sz w:val="20"/>
          <w:szCs w:val="20"/>
        </w:rPr>
        <w:t>Warunki gwarancji, serwisu i szkolenia</w:t>
      </w:r>
    </w:p>
    <w:p w:rsidR="009A5449" w:rsidRPr="00CE16E6" w:rsidRDefault="009A5449" w:rsidP="009A5449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pStyle w:val="Nagwek3"/>
              <w:widowControl/>
              <w:numPr>
                <w:ilvl w:val="2"/>
                <w:numId w:val="2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Garamond" w:hAnsi="Garamond"/>
                <w:color w:val="000000" w:themeColor="text1"/>
                <w:szCs w:val="20"/>
                <w:lang w:eastAsia="en-US"/>
              </w:rPr>
            </w:pPr>
            <w:r w:rsidRPr="00CE16E6">
              <w:rPr>
                <w:rFonts w:ascii="Garamond" w:hAnsi="Garamond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lang w:eastAsia="en-US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E16E6"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&gt;=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 w:rsidRPr="00CE16E6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tak – 3 pkt.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>Szkolenia dla personelu  medycznego z zakresu obsługi urządzenia (min. 16 osób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 w:rsidRPr="00CE16E6">
              <w:rPr>
                <w:rFonts w:ascii="Garamond" w:hAnsi="Garamond"/>
                <w:sz w:val="20"/>
                <w:szCs w:val="20"/>
              </w:rPr>
              <w:t>ciu</w:t>
            </w:r>
            <w:proofErr w:type="spellEnd"/>
            <w:r w:rsidRPr="00CE16E6">
              <w:rPr>
                <w:rFonts w:ascii="Garamond" w:hAnsi="Garamond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Liczba i okres szkoleń:</w:t>
            </w:r>
          </w:p>
          <w:p w:rsidR="009A5449" w:rsidRPr="00CE16E6" w:rsidRDefault="009A5449" w:rsidP="00460176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9A5449" w:rsidRPr="00CE16E6" w:rsidRDefault="009A5449" w:rsidP="00460176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dodatkowe, w razie potrzeby, w innym terminie </w:t>
            </w:r>
            <w:r w:rsidR="000402C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ustalonym </w:t>
            </w: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 kierownikiem pracowni,</w:t>
            </w: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ahoma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Wykonawca w ramach dostawy sprzętu zobowiązuje się dostarczyć komplet akcesoriów, okablowania itp. </w:t>
            </w: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9A5449" w:rsidRPr="00CE16E6" w:rsidRDefault="009A5449" w:rsidP="009A5449">
      <w:pPr>
        <w:spacing w:after="0" w:line="288" w:lineRule="auto"/>
        <w:rPr>
          <w:rFonts w:ascii="Garamond" w:eastAsia="Calibri" w:hAnsi="Garamond" w:cs="Calibri"/>
          <w:b/>
          <w:color w:val="000000" w:themeColor="text1"/>
          <w:lang w:eastAsia="ar-SA"/>
        </w:rPr>
      </w:pPr>
    </w:p>
    <w:sectPr w:rsidR="009A5449" w:rsidRPr="00CE16E6" w:rsidSect="00D728A4">
      <w:headerReference w:type="default" r:id="rId7"/>
      <w:foot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4A2" w:rsidRDefault="00CE34A2" w:rsidP="00D728A4">
      <w:pPr>
        <w:spacing w:after="0" w:line="240" w:lineRule="auto"/>
      </w:pPr>
      <w:r>
        <w:separator/>
      </w:r>
    </w:p>
  </w:endnote>
  <w:endnote w:type="continuationSeparator" w:id="0">
    <w:p w:rsidR="00CE34A2" w:rsidRDefault="00CE34A2" w:rsidP="00D7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998"/>
      <w:docPartObj>
        <w:docPartGallery w:val="Page Numbers (Bottom of Page)"/>
        <w:docPartUnique/>
      </w:docPartObj>
    </w:sdtPr>
    <w:sdtEndPr/>
    <w:sdtContent>
      <w:p w:rsidR="00CE16E6" w:rsidRPr="00396FC2" w:rsidRDefault="00CE16E6" w:rsidP="00CE16E6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6C18F4">
          <w:rPr>
            <w:rFonts w:ascii="Garamond" w:hAnsi="Garamond"/>
            <w:noProof/>
          </w:rPr>
          <w:t>15</w:t>
        </w:r>
        <w:r w:rsidRPr="00396FC2">
          <w:rPr>
            <w:rFonts w:ascii="Garamond" w:hAnsi="Garamond"/>
          </w:rPr>
          <w:fldChar w:fldCharType="end"/>
        </w:r>
      </w:p>
      <w:p w:rsidR="00CE16E6" w:rsidRDefault="00CE16E6" w:rsidP="00CE16E6">
        <w:pPr>
          <w:pStyle w:val="Stopka"/>
          <w:rPr>
            <w:rFonts w:ascii="Garamond" w:hAnsi="Garamond"/>
            <w:i/>
            <w:iCs/>
          </w:rPr>
        </w:pPr>
      </w:p>
      <w:p w:rsidR="00CE16E6" w:rsidRPr="0097462E" w:rsidRDefault="00CE16E6" w:rsidP="00CE16E6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CE16E6" w:rsidRDefault="00CE34A2" w:rsidP="00CE16E6">
        <w:pPr>
          <w:pStyle w:val="Stopka"/>
          <w:jc w:val="right"/>
        </w:pPr>
      </w:p>
    </w:sdtContent>
  </w:sdt>
  <w:p w:rsidR="00CE16E6" w:rsidRDefault="00CE16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4A2" w:rsidRDefault="00CE34A2" w:rsidP="00D728A4">
      <w:pPr>
        <w:spacing w:after="0" w:line="240" w:lineRule="auto"/>
      </w:pPr>
      <w:r>
        <w:separator/>
      </w:r>
    </w:p>
  </w:footnote>
  <w:footnote w:type="continuationSeparator" w:id="0">
    <w:p w:rsidR="00CE34A2" w:rsidRDefault="00CE34A2" w:rsidP="00D7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A4" w:rsidRDefault="006D363D">
    <w:pPr>
      <w:pStyle w:val="Nagwek"/>
    </w:pPr>
    <w:r>
      <w:rPr>
        <w:noProof/>
        <w:lang w:eastAsia="pl-PL"/>
      </w:rPr>
      <w:drawing>
        <wp:inline distT="0" distB="0" distL="0" distR="0" wp14:anchorId="0D9DD194" wp14:editId="7A7DC83E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0FFC" w:rsidRDefault="00CB0FFC" w:rsidP="00CB0FFC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 w:rsidRPr="00782525">
      <w:rPr>
        <w:rFonts w:ascii="Garamond" w:hAnsi="Garamond"/>
        <w:sz w:val="22"/>
        <w:szCs w:val="22"/>
      </w:rPr>
      <w:t>NSSU.DFP.271.2.2018</w:t>
    </w:r>
    <w:r w:rsidR="00F21499" w:rsidRPr="00782525">
      <w:rPr>
        <w:rFonts w:ascii="Garamond" w:hAnsi="Garamond"/>
        <w:sz w:val="22"/>
        <w:szCs w:val="22"/>
      </w:rPr>
      <w:t>.BM</w:t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  <w:t>Załącznik nr 1a do specyfikacji</w:t>
    </w:r>
  </w:p>
  <w:p w:rsidR="00CB0FFC" w:rsidRPr="00321A48" w:rsidRDefault="00CB0FFC" w:rsidP="00CB0FFC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CB0FFC" w:rsidRDefault="00CB0F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8A5868"/>
    <w:multiLevelType w:val="hybridMultilevel"/>
    <w:tmpl w:val="A584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624F4465"/>
    <w:multiLevelType w:val="hybridMultilevel"/>
    <w:tmpl w:val="404AC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9C"/>
    <w:rsid w:val="000402C4"/>
    <w:rsid w:val="0008400D"/>
    <w:rsid w:val="000B2327"/>
    <w:rsid w:val="000D3C07"/>
    <w:rsid w:val="00211C08"/>
    <w:rsid w:val="00283E91"/>
    <w:rsid w:val="002C4398"/>
    <w:rsid w:val="002E5E9C"/>
    <w:rsid w:val="003564E4"/>
    <w:rsid w:val="003A2DF2"/>
    <w:rsid w:val="003C44B5"/>
    <w:rsid w:val="003E6B6E"/>
    <w:rsid w:val="004269FB"/>
    <w:rsid w:val="005246A6"/>
    <w:rsid w:val="00551947"/>
    <w:rsid w:val="00556040"/>
    <w:rsid w:val="005809EC"/>
    <w:rsid w:val="0059685D"/>
    <w:rsid w:val="006378DD"/>
    <w:rsid w:val="00675F60"/>
    <w:rsid w:val="006C18F4"/>
    <w:rsid w:val="006D363D"/>
    <w:rsid w:val="006D790B"/>
    <w:rsid w:val="00701F7F"/>
    <w:rsid w:val="00736339"/>
    <w:rsid w:val="00782525"/>
    <w:rsid w:val="008E254D"/>
    <w:rsid w:val="00967FF3"/>
    <w:rsid w:val="009854EA"/>
    <w:rsid w:val="009A5449"/>
    <w:rsid w:val="009B3019"/>
    <w:rsid w:val="009B3B5D"/>
    <w:rsid w:val="00A52A4E"/>
    <w:rsid w:val="00A54DED"/>
    <w:rsid w:val="00AB7D8C"/>
    <w:rsid w:val="00AC3DB4"/>
    <w:rsid w:val="00BE4FF0"/>
    <w:rsid w:val="00C17F24"/>
    <w:rsid w:val="00CB00C7"/>
    <w:rsid w:val="00CB0FFC"/>
    <w:rsid w:val="00CE16E6"/>
    <w:rsid w:val="00CE34A2"/>
    <w:rsid w:val="00D56B62"/>
    <w:rsid w:val="00D728A4"/>
    <w:rsid w:val="00F21499"/>
    <w:rsid w:val="00F2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E1D20-D6F7-4EAD-A290-5DC04BF8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544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544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A544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A544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A544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8A4"/>
  </w:style>
  <w:style w:type="paragraph" w:styleId="Stopka">
    <w:name w:val="footer"/>
    <w:basedOn w:val="Normalny"/>
    <w:link w:val="StopkaZnak"/>
    <w:uiPriority w:val="99"/>
    <w:unhideWhenUsed/>
    <w:rsid w:val="00D7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8A4"/>
  </w:style>
  <w:style w:type="character" w:customStyle="1" w:styleId="Nagwek1Znak">
    <w:name w:val="Nagłówek 1 Znak"/>
    <w:basedOn w:val="Domylnaczcionkaakapitu"/>
    <w:link w:val="Nagwek1"/>
    <w:rsid w:val="009A544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9A544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A544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9A544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A544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rsid w:val="009A544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9A544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Standard">
    <w:name w:val="Standard"/>
    <w:rsid w:val="009A544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A544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a-kontynuacja24">
    <w:name w:val="Lista - kontynuacja 24"/>
    <w:basedOn w:val="Normalny"/>
    <w:rsid w:val="009A544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9A5449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9A5449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9A5449"/>
    <w:pPr>
      <w:numPr>
        <w:numId w:val="4"/>
      </w:numPr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9A5449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4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A5449"/>
    <w:rPr>
      <w:rFonts w:eastAsiaTheme="minorEastAsia"/>
      <w:color w:val="5A5A5A" w:themeColor="text1" w:themeTint="A5"/>
      <w:spacing w:val="15"/>
    </w:rPr>
  </w:style>
  <w:style w:type="paragraph" w:customStyle="1" w:styleId="Style">
    <w:name w:val="Style"/>
    <w:basedOn w:val="Normalny"/>
    <w:next w:val="Nagwek"/>
    <w:rsid w:val="00CB0F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2819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Hymczak</dc:creator>
  <cp:keywords/>
  <dc:description/>
  <cp:lastModifiedBy>Beata Musiał</cp:lastModifiedBy>
  <cp:revision>34</cp:revision>
  <cp:lastPrinted>2018-02-26T08:47:00Z</cp:lastPrinted>
  <dcterms:created xsi:type="dcterms:W3CDTF">2018-01-26T08:40:00Z</dcterms:created>
  <dcterms:modified xsi:type="dcterms:W3CDTF">2018-02-26T08:48:00Z</dcterms:modified>
</cp:coreProperties>
</file>