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99" w:rsidRPr="009F0D31" w:rsidRDefault="00CC7799" w:rsidP="00812580">
      <w:pPr>
        <w:pStyle w:val="Tytu"/>
        <w:rPr>
          <w:sz w:val="20"/>
          <w:szCs w:val="20"/>
        </w:rPr>
      </w:pPr>
      <w:r w:rsidRPr="009F0D31">
        <w:rPr>
          <w:sz w:val="20"/>
          <w:szCs w:val="20"/>
        </w:rPr>
        <w:t>OPIS PRZEDMIOTU ZAMÓWIENIA</w:t>
      </w:r>
    </w:p>
    <w:p w:rsidR="00C95E77" w:rsidRPr="009F0D31" w:rsidRDefault="00C95E77" w:rsidP="00812580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</w:p>
    <w:p w:rsidR="00CC7799" w:rsidRPr="009F0D31" w:rsidRDefault="00CC7799" w:rsidP="00812580">
      <w:pPr>
        <w:spacing w:before="100" w:beforeAutospacing="1" w:after="100" w:afterAutospacing="1" w:line="288" w:lineRule="auto"/>
        <w:jc w:val="center"/>
        <w:rPr>
          <w:rFonts w:ascii="Garamond" w:hAnsi="Garamond"/>
          <w:b/>
          <w:u w:val="single"/>
        </w:rPr>
      </w:pPr>
      <w:r w:rsidRPr="009F0D31">
        <w:rPr>
          <w:rFonts w:ascii="Garamond" w:hAnsi="Garamond"/>
          <w:b/>
          <w:u w:val="single"/>
        </w:rPr>
        <w:t>aparat do znieczulenia ogólnego – 4 szt.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Uwagi i objaśnienia: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Wykonawca zobowiązany jest do podania parametrów w jednostkach wskazanych w niniejszym opisie.</w:t>
      </w:r>
    </w:p>
    <w:p w:rsidR="00CC7799" w:rsidRPr="009F0D31" w:rsidRDefault="00CC7799" w:rsidP="00CC7799">
      <w:pPr>
        <w:pStyle w:val="Standard"/>
        <w:numPr>
          <w:ilvl w:val="0"/>
          <w:numId w:val="4"/>
        </w:numPr>
        <w:jc w:val="both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Nazwa i typ: .............................................................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Producent / kraj produkcji: ........................................................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Rok produkcji (min. 2017): …..............</w:t>
      </w:r>
    </w:p>
    <w:p w:rsidR="00CC7799" w:rsidRPr="009F0D31" w:rsidRDefault="00CC7799" w:rsidP="00CC7799">
      <w:pPr>
        <w:pStyle w:val="Standard"/>
        <w:rPr>
          <w:rFonts w:ascii="Garamond" w:hAnsi="Garamond"/>
          <w:sz w:val="20"/>
          <w:szCs w:val="20"/>
        </w:rPr>
      </w:pPr>
    </w:p>
    <w:p w:rsidR="00CC7799" w:rsidRPr="009F0D31" w:rsidRDefault="00CC7799" w:rsidP="00812580">
      <w:pPr>
        <w:pStyle w:val="Standard"/>
        <w:rPr>
          <w:rFonts w:ascii="Garamond" w:hAnsi="Garamond"/>
          <w:sz w:val="20"/>
          <w:szCs w:val="20"/>
        </w:rPr>
      </w:pPr>
      <w:r w:rsidRPr="009F0D31">
        <w:rPr>
          <w:rFonts w:ascii="Garamond" w:hAnsi="Garamond"/>
          <w:sz w:val="20"/>
          <w:szCs w:val="20"/>
        </w:rPr>
        <w:t>Klasa wyrobu medycznego: ..................</w:t>
      </w:r>
    </w:p>
    <w:p w:rsidR="00812580" w:rsidRPr="009F0D31" w:rsidRDefault="00812580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p w:rsidR="000A2BFE" w:rsidRPr="009F0D31" w:rsidRDefault="000A2BFE" w:rsidP="00812580">
      <w:pPr>
        <w:pStyle w:val="Standard"/>
        <w:rPr>
          <w:rFonts w:ascii="Garamond" w:hAnsi="Garamond"/>
          <w:sz w:val="20"/>
          <w:szCs w:val="20"/>
        </w:rPr>
      </w:pPr>
    </w:p>
    <w:p w:rsidR="000A2BFE" w:rsidRPr="009F0D31" w:rsidRDefault="000A2BFE" w:rsidP="00812580">
      <w:pPr>
        <w:pStyle w:val="Standard"/>
        <w:rPr>
          <w:rFonts w:ascii="Garamond" w:hAnsi="Garamond"/>
          <w:sz w:val="20"/>
          <w:szCs w:val="20"/>
        </w:rPr>
      </w:pPr>
    </w:p>
    <w:p w:rsidR="00C95E77" w:rsidRPr="009F0D31" w:rsidRDefault="00C95E77" w:rsidP="00812580">
      <w:pPr>
        <w:pStyle w:val="Standard"/>
        <w:rPr>
          <w:rFonts w:ascii="Garamond" w:hAnsi="Garamond"/>
          <w:sz w:val="20"/>
          <w:szCs w:val="20"/>
        </w:rPr>
      </w:pPr>
    </w:p>
    <w:tbl>
      <w:tblPr>
        <w:tblW w:w="664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1558"/>
        <w:gridCol w:w="5812"/>
        <w:gridCol w:w="4681"/>
        <w:gridCol w:w="4677"/>
      </w:tblGrid>
      <w:tr w:rsidR="00812580" w:rsidRPr="009F0D31" w:rsidTr="00092C6D">
        <w:trPr>
          <w:gridAfter w:val="1"/>
          <w:wAfter w:w="1249" w:type="pct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lastRenderedPageBreak/>
              <w:t>Przedmiot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>Liczba sztuk</w:t>
            </w:r>
          </w:p>
        </w:tc>
        <w:tc>
          <w:tcPr>
            <w:tcW w:w="1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>Cena jednostkowa aparatu brutto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tandard"/>
              <w:snapToGrid w:val="0"/>
              <w:jc w:val="center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>A: Cena brutto aparatów</w:t>
            </w:r>
          </w:p>
        </w:tc>
      </w:tr>
      <w:tr w:rsidR="00812580" w:rsidRPr="009F0D31" w:rsidTr="00092C6D">
        <w:trPr>
          <w:gridAfter w:val="1"/>
          <w:wAfter w:w="1249" w:type="pct"/>
          <w:trHeight w:val="527"/>
        </w:trPr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F0D31" w:rsidRDefault="00812580" w:rsidP="00E76FFA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9F0D31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Aparat do znieczulenia ogólnego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9F0D31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  <w:tr w:rsidR="00812580" w:rsidRPr="009F0D31" w:rsidTr="00092C6D">
        <w:trPr>
          <w:gridBefore w:val="2"/>
          <w:gridAfter w:val="1"/>
          <w:wBefore w:w="949" w:type="pct"/>
          <w:wAfter w:w="1250" w:type="pct"/>
          <w:trHeight w:val="527"/>
        </w:trPr>
        <w:tc>
          <w:tcPr>
            <w:tcW w:w="1552" w:type="pct"/>
            <w:tcBorders>
              <w:right w:val="single" w:sz="4" w:space="0" w:color="auto"/>
            </w:tcBorders>
            <w:vAlign w:val="center"/>
          </w:tcPr>
          <w:p w:rsidR="00812580" w:rsidRPr="009F0D31" w:rsidRDefault="00812580" w:rsidP="00E76FFA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E76FFA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  <w:r w:rsidRPr="009F0D31"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  <w:t>B: Cena brutto dostawy, instalacji, uruchomienia, szkolenia:</w:t>
            </w:r>
          </w:p>
        </w:tc>
      </w:tr>
      <w:tr w:rsidR="00812580" w:rsidRPr="009F0D31" w:rsidTr="00092C6D">
        <w:trPr>
          <w:gridBefore w:val="2"/>
          <w:wBefore w:w="949" w:type="pct"/>
          <w:trHeight w:val="527"/>
        </w:trPr>
        <w:tc>
          <w:tcPr>
            <w:tcW w:w="1552" w:type="pct"/>
            <w:tcBorders>
              <w:right w:val="single" w:sz="4" w:space="0" w:color="auto"/>
            </w:tcBorders>
            <w:vAlign w:val="center"/>
          </w:tcPr>
          <w:p w:rsidR="00812580" w:rsidRPr="009F0D31" w:rsidRDefault="00812580" w:rsidP="00812580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812580">
            <w:pPr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50" w:type="pct"/>
            <w:vAlign w:val="center"/>
          </w:tcPr>
          <w:p w:rsidR="00812580" w:rsidRPr="009F0D31" w:rsidRDefault="00812580" w:rsidP="00812580">
            <w:pPr>
              <w:jc w:val="center"/>
              <w:rPr>
                <w:rFonts w:ascii="Garamond" w:hAnsi="Garamond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9A4E80" w:rsidRPr="009F0D31" w:rsidRDefault="009A4E80">
      <w:pPr>
        <w:rPr>
          <w:rFonts w:ascii="Garamond" w:hAnsi="Garamond"/>
          <w:sz w:val="18"/>
          <w:szCs w:val="18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4679"/>
      </w:tblGrid>
      <w:tr w:rsidR="00812580" w:rsidRPr="009F0D31" w:rsidTr="009A4E80">
        <w:trPr>
          <w:trHeight w:val="527"/>
        </w:trPr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80" w:rsidRPr="009F0D31" w:rsidRDefault="00812580" w:rsidP="00812580">
            <w:pPr>
              <w:pStyle w:val="Skrconyadreszwrotny"/>
              <w:snapToGrid w:val="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sz w:val="18"/>
                <w:szCs w:val="18"/>
              </w:rPr>
              <w:t>A+ B: Cena brutto oferty</w:t>
            </w:r>
            <w:r w:rsidR="004A2FE6" w:rsidRPr="009F0D31">
              <w:rPr>
                <w:rFonts w:ascii="Garamond" w:hAnsi="Garamond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12580" w:rsidRPr="009F0D31" w:rsidRDefault="00812580" w:rsidP="00812580">
            <w:pPr>
              <w:pStyle w:val="Skrconyadreszwrotny"/>
              <w:snapToGrid w:val="0"/>
              <w:rPr>
                <w:rFonts w:ascii="Garamond" w:hAnsi="Garamond"/>
                <w:bCs/>
                <w:sz w:val="18"/>
                <w:szCs w:val="18"/>
              </w:rPr>
            </w:pPr>
          </w:p>
        </w:tc>
      </w:tr>
    </w:tbl>
    <w:p w:rsidR="00CC7799" w:rsidRPr="009F0D31" w:rsidRDefault="00CC7799" w:rsidP="00CC7799">
      <w:pPr>
        <w:rPr>
          <w:rFonts w:ascii="Garamond" w:hAnsi="Garamond"/>
          <w:sz w:val="18"/>
          <w:szCs w:val="18"/>
        </w:rPr>
      </w:pPr>
    </w:p>
    <w:p w:rsidR="00CC7799" w:rsidRPr="009F0D31" w:rsidRDefault="00CC7799" w:rsidP="00CC7799">
      <w:pPr>
        <w:rPr>
          <w:rFonts w:ascii="Garamond" w:hAnsi="Garamond"/>
          <w:b/>
          <w:sz w:val="18"/>
          <w:szCs w:val="18"/>
        </w:rPr>
      </w:pPr>
      <w:r w:rsidRPr="009F0D31">
        <w:rPr>
          <w:rFonts w:ascii="Garamond" w:hAnsi="Garamond"/>
          <w:b/>
          <w:sz w:val="18"/>
          <w:szCs w:val="18"/>
        </w:rPr>
        <w:t xml:space="preserve">Parametry techniczne i eksploatacyjne </w:t>
      </w:r>
    </w:p>
    <w:tbl>
      <w:tblPr>
        <w:tblW w:w="1304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2410"/>
      </w:tblGrid>
      <w:tr w:rsidR="00CC7799" w:rsidRPr="009F0D31" w:rsidTr="00E76FF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line="360" w:lineRule="auto"/>
              <w:jc w:val="center"/>
              <w:rPr>
                <w:rFonts w:ascii="Garamond" w:hAnsi="Garamond" w:cs="Arial"/>
                <w:b/>
                <w:sz w:val="18"/>
                <w:szCs w:val="18"/>
                <w:highlight w:val="yellow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Zasady oceny (punktacji)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Aparat do znieczulania ogólnego, jezdny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Wymiary zewnętrzne (wysokość x szerokość x głębokość) [cm]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Masa (kg)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60" w:after="6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Zasilanie dostosowane do  230 [V], 50 [Hz]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Aparat wyposażony m. in. w blat do pisania, uchwyt do </w:t>
            </w: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zapasowej butli tlenowej  i min. 1 szufladę na akcesoria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Wbudowane fabrycznie gniazda elektryczne 230 [V] (minimum 3 gniazda) umieszczone z tyłu </w:t>
            </w:r>
            <w:r w:rsidR="005051C7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z boku </w:t>
            </w:r>
            <w:r w:rsidRPr="009F0D31">
              <w:rPr>
                <w:rFonts w:ascii="Garamond" w:hAnsi="Garamond" w:cs="Arial"/>
                <w:sz w:val="18"/>
                <w:szCs w:val="18"/>
              </w:rPr>
              <w:t>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Indywidualne, automatyczne, bezpieczniki gniazd elektrycznych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9F0D31" w:rsidRDefault="00CC7799" w:rsidP="00E76FFA">
            <w:pPr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Zasilanie gazowe (N2O, O2, powietrze) z sieci  centralnej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Możliwość awaryjnego zasilania gazowego z butli O2[l]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9F0D31" w:rsidRDefault="00CC7799" w:rsidP="00E76FFA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min. 5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A44362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Uchwyt na 2 butle o pojemności 10 [l]: tlenową i podtlenku azotu umieszczony na tylnej ścianie aparatu</w:t>
            </w:r>
            <w:r w:rsidR="00A44362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A44362"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>lub aparat posiadający zasilanie centralne gazowe dla O2, N2O i powietrza i awaryjne z minimum 5 l butli 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Awaryjne zasilanie elektryczne aparatu na min. </w:t>
            </w: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br/>
              <w:t>60 minut w warunkach standardowych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A44362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Reduktory do butli O2 ze złączami, wyposażone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w przyłącze do aparatu</w:t>
            </w:r>
            <w:r w:rsidR="00A44362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A44362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A44362" w:rsidRPr="009F0D31">
              <w:rPr>
                <w:rFonts w:ascii="Garamond" w:hAnsi="Garamond"/>
                <w:color w:val="FF0000"/>
                <w:sz w:val="18"/>
                <w:szCs w:val="18"/>
              </w:rPr>
              <w:t>aparat z reduktorami do butli O2 wbudowanymi w aparat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Prezentacja ciśnień gazów zasilających na ekranie respiratora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A1459">
            <w:pPr>
              <w:pStyle w:val="Standard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Ssak iniektorowy z regulacją siły ssania i zbiornikiem na wydzieliny o pojemności  min. 0, 7 [l] oraz minimum jednym zapasowym wymiennym zbiornikiem </w:t>
            </w:r>
            <w:r w:rsidR="00EA1459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EA1459" w:rsidRPr="009F0D31">
              <w:rPr>
                <w:rFonts w:ascii="Garamond" w:hAnsi="Garamond"/>
                <w:color w:val="FF0000"/>
                <w:sz w:val="18"/>
                <w:szCs w:val="18"/>
              </w:rPr>
              <w:t>z dwoma pojemnikami wielorazowymi o pojemności  1 l na wymienne wkłady 1 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Aktywne miejsce w układzie dla parownika (klasycznego lub elektronicznego)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System uniemożliwiający jednoczesną podaż dwóch środków wziewnych jednocześnie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SYSTEM DYSTRYBUCJI GAZÓW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Precyzyjne, elektroniczne lub rotametryczne przepływomierze dla tlenu, podtlenku azotu i powietrza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Elektroniczne – 5 pkt. Rotametryczne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Wyświetlanie przepływu gazów przy pomocy wirtualnych przepływomierzy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3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A1459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Zintegrowany (lub wbudowany) zapasowy awaryjny mechaniczny przepływomierz  tlenowy z przepływem tlenu minimum 10 [l/min]</w:t>
            </w:r>
            <w:r w:rsidR="00EA1459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EA1459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="00EA1459" w:rsidRPr="009F0D31">
              <w:rPr>
                <w:rFonts w:ascii="Garamond" w:hAnsi="Garamond"/>
                <w:color w:val="FF0000"/>
                <w:sz w:val="18"/>
                <w:szCs w:val="18"/>
              </w:rPr>
              <w:t xml:space="preserve">aparat z </w:t>
            </w:r>
            <w:r w:rsidR="00EA1459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wbudowanym przepływomierzem tlenowym niezależnym od układu okrężnego do stosowania podczas znieczuleń przewodowych z regulowanym przepływem O2 do 10 l/min.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System automatycznego utrzymywania stężenia tlenu w mieszaninie z podtlenkiem azotu na poziomie min. 25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Mieszalnik świeżych gazów zapewniający stałe stężenie tlenu przy zmianie wielkości przepływu świeżych gazów; mieszalnik sterowany elektronicznie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3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Przepływomierze umożliwiające podaż gazów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 xml:space="preserve">w systemie anestezji z niskimi i minimalnymi przepływami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UKŁAD ODDECHOWY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Kompaktowy układ oddechowy okrężny do wentylacji dorosłych i dzieci o niskiej podatności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Układ oddechowy o prostej budowie, łatwy do wymiany i sterylizacji, pozbawiony lateksu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Układ kompaktowy, wbudowany,  nie wystający poza rzut podstawy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Układ przystosowany do prowadzenia znieczulenia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w systemach półotwartym i półzamkniętym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Obejście tlenowe o dużej wydajności[l/min]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35 [l/min/] i więcej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niższe wartości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Wielorazowy pochłaniacz dwutlenku węgla o obudowie przeziernej i pojemności max. 1,5 [l] (możliwość stosowania pochłaniaczy wielorazowych i jednorazowych)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Możliwość zmiany podczas  znieczulenia bez rozszczelniania układu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Eliminacja gazów poanestetycznych poza salę operacyjną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RESPIRATOR ANESTETYCZNY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60" w:after="60" w:line="360" w:lineRule="auto"/>
              <w:jc w:val="both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Tryby wentylacji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Możliwość prowadzenia wentylacji ręcznej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ciśnieniowo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objętościowo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SIMV – synchronizowana przerywana wentylacja wymuszona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BA2BCE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SIMV/PS – wentylacja synchronizowana ze wspomaganiem ciśnieniowym</w:t>
            </w:r>
            <w:r w:rsidR="00BA2BCE"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="00BA2BCE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lub:</w:t>
            </w:r>
          </w:p>
          <w:p w:rsidR="00BA2BCE" w:rsidRPr="009F0D31" w:rsidRDefault="00BA2BCE" w:rsidP="00BA2BCE">
            <w:pPr>
              <w:pStyle w:val="Standard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/>
                <w:color w:val="FF0000"/>
                <w:sz w:val="18"/>
                <w:szCs w:val="18"/>
              </w:rPr>
              <w:t>SIMV -PC i SIMV-VC – wentylacja synchronizowana w trybie ciśnieniowym i objętościowym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Precyzyjny wyzwalacz przepływowy z precyzyjną regulacją czułości                             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PSV z zabezpieczeniem na wypadek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20" w:after="2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Automatyczne przełączenie na wentylację mechaniczną po wykryciu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1F44CA">
            <w:pPr>
              <w:pStyle w:val="Standard"/>
              <w:spacing w:before="20" w:after="2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Tryb wentylacji z docelową lub gwarantowaną objętością</w:t>
            </w:r>
            <w:r w:rsidR="001F44CA" w:rsidRPr="009F0D31">
              <w:rPr>
                <w:rFonts w:ascii="Garamond" w:hAnsi="Garamond" w:cs="Arial"/>
                <w:sz w:val="18"/>
                <w:szCs w:val="18"/>
              </w:rPr>
              <w:t xml:space="preserve"> lub </w:t>
            </w:r>
            <w:r w:rsidR="001F44CA" w:rsidRPr="009F0D31">
              <w:rPr>
                <w:rFonts w:ascii="Garamond" w:hAnsi="Garamond"/>
                <w:color w:val="FF0000"/>
                <w:sz w:val="18"/>
                <w:szCs w:val="18"/>
              </w:rPr>
              <w:t xml:space="preserve">automatyczne przełączenie na wentylację mechaniczną po </w:t>
            </w:r>
            <w:r w:rsidR="00766E2D" w:rsidRPr="009F0D31">
              <w:rPr>
                <w:rFonts w:ascii="Garamond" w:hAnsi="Garamond"/>
                <w:color w:val="FF0000"/>
                <w:sz w:val="18"/>
                <w:szCs w:val="18"/>
              </w:rPr>
              <w:lastRenderedPageBreak/>
              <w:t>wykryciu bezdechu tj.</w:t>
            </w:r>
            <w:r w:rsidR="001F44CA" w:rsidRPr="009F0D31">
              <w:rPr>
                <w:rFonts w:ascii="Garamond" w:hAnsi="Garamond"/>
                <w:color w:val="FF0000"/>
                <w:sz w:val="18"/>
                <w:szCs w:val="18"/>
              </w:rPr>
              <w:t xml:space="preserve"> przełączenie automatyczne z wentylacji wspomaganej PSV na wentylację mechaniczną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40.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Awaryjny, mechaniczny tryb wentylacji po zaniku dopływu świeżych gazów z sieci centralnej i butli rezerwowych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Podawanie (na żądanie) dodatkowego jednego oddechu pod określonym ciśnieniem i przez określony czas – bez wykonywania zmian w ustawieniach respiratora – wentylacja mechaniczna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możliwość włączenia wielostopniowej funkcji rekrutacji pęcherzyków płucnych w trybie wentylacji mechanicznej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Zakres PEEP - min. od 4 [cm H2O] do 20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Regulacje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Standard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Regulacja stosunku wdechu do wydechu – minimum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2 : 1 do 1 : 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Regulacja częstości oddechu - minimum od 4 do 80 [odd/min] (wentylacja objętościowa i ciśnieniowa)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Zakres objętości oddechowej - minimum od 20 do 1400 [ml]; (wentylacja objętościowa)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Regulacja ciśnienia wdechu przy PCV - minimum: od 5 do 60 </w:t>
            </w: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Regulowana płynnie lub skokowo pauza wdechowa w zakresie minimum 5-50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Alarmy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Niskiej pojemności minutowej MV i / lub oddechowej TV z regulowanymi progami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MV i TV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tylko MV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Alarm minimalnego i maksymalnego ciśnienia wdechowego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Alarm braku zasilania w energię elektryczną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Alarm braku zasilania w gazy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Alarm Apnea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Inne wyżej nie wymienione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 alarmy lub więcej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mniejsza liczba – 1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brak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POMIAR I OBRAZOWANIE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Stężenie tlenu w gazach oddechowych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objętości oddechowej TV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pojemności minutowej MV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częstotliwości oddechowej f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szczytowego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Plateau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średniego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Ciśnienia PEEP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Częstość oddychania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manometr pomiaru ciśnienia w drogach oddechowych wyświetlany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Elektroniczny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mechaniczny – 1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brak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Stężenie wdechowe i wydechowe tlenu w gazach oddechowych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Pomiar stężenia środków anestetycznych dla mieszaniny wdechowej i wydechowej dla: podtlenku azotu, izofluranu, sevofluranu, desfluranu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Automatyczna identyfikacja anestetyku wziewnego i pomiar MAC w aparacie do znieczulania  z uwzględnieniem wieku pacjenta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ab/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i obrazowanie spirometrii co najmniej: krzywa ciśnienia, krzywa objętości, pętla ciśnienie – objętość.</w:t>
            </w:r>
          </w:p>
          <w:p w:rsidR="00CC7799" w:rsidRPr="009F0D31" w:rsidRDefault="00CC7799" w:rsidP="00E76FFA">
            <w:pPr>
              <w:snapToGrid w:val="0"/>
              <w:spacing w:line="360" w:lineRule="auto"/>
              <w:ind w:left="229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ab/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z wyświetlaniem podatności i oporu dróg oddechowych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1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PREZENTACJA 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Ekran kolorowy do prezentacji parametrów znieczulenia i krzywych o przekątnej minimum 12 [”] oraz rozdzielczości minimum 800x600 [pikseli]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after="60" w:line="360" w:lineRule="auto"/>
              <w:rPr>
                <w:rFonts w:ascii="Garamond" w:hAnsi="Garamond" w:cs="Arial"/>
                <w:sz w:val="18"/>
                <w:szCs w:val="18"/>
                <w:u w:val="single"/>
              </w:rPr>
            </w:pPr>
            <w:r w:rsidRPr="009F0D31">
              <w:rPr>
                <w:rFonts w:ascii="Garamond" w:hAnsi="Garamond" w:cs="Arial"/>
                <w:sz w:val="18"/>
                <w:szCs w:val="18"/>
                <w:u w:val="single"/>
              </w:rPr>
              <w:t>Oddzielna punktacja za:</w:t>
            </w:r>
          </w:p>
          <w:p w:rsidR="00CC7799" w:rsidRPr="009F0D31" w:rsidRDefault="00CC7799" w:rsidP="00CC7799">
            <w:pPr>
              <w:widowControl w:val="0"/>
              <w:numPr>
                <w:ilvl w:val="0"/>
                <w:numId w:val="17"/>
              </w:numPr>
              <w:suppressAutoHyphens/>
              <w:spacing w:after="60" w:line="360" w:lineRule="auto"/>
              <w:ind w:left="357" w:hanging="357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przekątną:</w:t>
            </w:r>
          </w:p>
          <w:p w:rsidR="00CC7799" w:rsidRPr="009F0D31" w:rsidRDefault="00CC7799" w:rsidP="00E76FFA">
            <w:pPr>
              <w:spacing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przekątna 15 [”] lub większa – 3 pkt.,</w:t>
            </w:r>
          </w:p>
          <w:p w:rsidR="00CC7799" w:rsidRPr="009F0D31" w:rsidRDefault="00CC7799" w:rsidP="00E76FFA">
            <w:pPr>
              <w:spacing w:after="120" w:line="360" w:lineRule="auto"/>
              <w:ind w:left="369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mniejsze przekątne – 1 pkt.</w:t>
            </w:r>
          </w:p>
          <w:p w:rsidR="00CC7799" w:rsidRPr="009F0D31" w:rsidRDefault="00CC7799" w:rsidP="00CC7799">
            <w:pPr>
              <w:widowControl w:val="0"/>
              <w:numPr>
                <w:ilvl w:val="0"/>
                <w:numId w:val="17"/>
              </w:numPr>
              <w:suppressAutoHyphens/>
              <w:spacing w:after="60" w:line="360" w:lineRule="auto"/>
              <w:ind w:left="357" w:hanging="357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rozdzielczość:</w:t>
            </w:r>
          </w:p>
          <w:p w:rsidR="00CC7799" w:rsidRPr="009F0D31" w:rsidRDefault="00CC7799" w:rsidP="00E76FFA">
            <w:pPr>
              <w:spacing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rozdzielczość wymagana – 1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ind w:left="37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wyższa niż wymagana – 3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Ekran wentylacji pojedynczy na ruchomym wysięgniku </w:t>
            </w:r>
            <w:r w:rsidR="001D53DE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(rozwiązanie 1) </w:t>
            </w: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lub wbudowany w przednią ścianę aparatu</w:t>
            </w:r>
            <w:r w:rsidR="001D53DE"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="001D53DE"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(rozwiązanie 2)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1D53DE" w:rsidRPr="009F0D31" w:rsidRDefault="001D53DE" w:rsidP="001D53DE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rozwiązanie 1 – 5 pkt.</w:t>
            </w:r>
          </w:p>
          <w:p w:rsidR="001D53DE" w:rsidRPr="009F0D31" w:rsidRDefault="001D53DE" w:rsidP="001D53DE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rozwiązanie 2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Sposób sterowania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Ekran dotykowy – 2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inne rozwiązania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Prezentacja prężności dwutlenku węgla, CO2 w strumieniu wdechowym i wydechowym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Obrazowanie krzywej koncentracji anestetyku wziewnego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Obrazowanie krzywej ciśnienia w drogach oddechowych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0"/>
                <w:sz w:val="18"/>
                <w:szCs w:val="18"/>
              </w:rPr>
              <w:t>Prezentacja trendów parametrów mierzonych [godz.]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min. 6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10 [godz.] i więcej – 2 pkt.,</w:t>
            </w:r>
          </w:p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mniej niż 10 [godz.]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Funkcja optymalnego doboru przepływu świeżych gazów, np. w technice Low Flow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before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 – 2 pkt.,</w:t>
            </w:r>
          </w:p>
          <w:p w:rsidR="00CC7799" w:rsidRPr="009F0D31" w:rsidRDefault="00CC7799" w:rsidP="00E76FFA">
            <w:pPr>
              <w:spacing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INNE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Parowniki do sevofluranu </w:t>
            </w:r>
            <w:r w:rsidRPr="009F0D31">
              <w:rPr>
                <w:rFonts w:ascii="Garamond" w:hAnsi="Garamond" w:cs="Arial"/>
                <w:strike/>
                <w:color w:val="FF0000"/>
                <w:sz w:val="18"/>
                <w:szCs w:val="18"/>
              </w:rPr>
              <w:t>i izofluranu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pacing w:line="360" w:lineRule="auto"/>
              <w:rPr>
                <w:rFonts w:ascii="Garamond" w:hAnsi="Garamond" w:cs="Arial"/>
                <w:kern w:val="2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kern w:val="20"/>
                <w:sz w:val="18"/>
                <w:szCs w:val="18"/>
              </w:rPr>
              <w:t>Klasyczne – 2 pkt.,</w:t>
            </w:r>
          </w:p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kern w:val="20"/>
                <w:sz w:val="18"/>
                <w:szCs w:val="18"/>
              </w:rPr>
              <w:t>elektroniczne – 1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Komunikacja z aparatem w języku polskim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E76FFA">
            <w:pPr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C7799" w:rsidRPr="009F0D31" w:rsidRDefault="00CC7799" w:rsidP="00E76FFA">
            <w:pPr>
              <w:snapToGrid w:val="0"/>
              <w:spacing w:line="360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Aparaty do znieczulenia ogólnego oraz kardiomonitory funkcji życiowych– jednego producenta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CC7799" w:rsidRPr="009F0D31" w:rsidRDefault="00CC7799" w:rsidP="004D2863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4D2863" w:rsidRPr="009F0D31" w:rsidRDefault="004D2863" w:rsidP="004D2863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moduły pomiarowe producenta </w:t>
            </w: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lastRenderedPageBreak/>
              <w:t>aparatów i kardiomonitora – 2 pkt.,</w:t>
            </w:r>
          </w:p>
          <w:p w:rsidR="004D2863" w:rsidRPr="009F0D31" w:rsidRDefault="004D2863" w:rsidP="004D2863">
            <w:pPr>
              <w:snapToGrid w:val="0"/>
              <w:spacing w:before="40" w:after="40" w:line="360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inne rozwiązania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 xml:space="preserve">KARDIOMONITOR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Kardiomonitor modułowy min. 15 [‘] (działający w systemie wymiennych modułów pomiarowych) dedykowany do zastosowań w obszarze intensywnej terapii i bloku operacyjnego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Wszystkie moduły przenoszone między monitorami </w:t>
            </w:r>
            <w:r w:rsidRPr="009F0D31">
              <w:rPr>
                <w:rFonts w:ascii="Garamond" w:hAnsi="Garamond" w:cs="Arial"/>
                <w:sz w:val="18"/>
                <w:szCs w:val="18"/>
              </w:rPr>
              <w:br/>
              <w:t>w sposób zapewniający automatyczną zmianę konfiguracji ekranu, uwzględniającą pojawienie się odpowiednich parametrów, bez zakłócania pracy monitora.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Sterowanie funkcjami pomiarowymi dla wszystkich wymaganych parametrów – bezpośrednio z ekranu zaoferowanego monitora </w:t>
            </w:r>
          </w:p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="Arial"/>
                <w:i/>
                <w:sz w:val="18"/>
                <w:szCs w:val="18"/>
              </w:rPr>
              <w:t xml:space="preserve">nie dotyczy pomiarów dopuszczonych </w:t>
            </w:r>
            <w:r w:rsidRPr="009F0D31">
              <w:rPr>
                <w:rFonts w:ascii="Garamond" w:hAnsi="Garamond" w:cs="Arial"/>
                <w:i/>
                <w:sz w:val="18"/>
                <w:szCs w:val="18"/>
              </w:rPr>
              <w:br/>
              <w:t>w formie urządzeń zewnętrznych</w:t>
            </w:r>
            <w:r w:rsidRPr="009F0D31">
              <w:rPr>
                <w:rFonts w:ascii="Garamond" w:hAnsi="Garamond" w:cs="Arial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 zestawie do każdego monitora uchwyt montażowy umożliwiający regulację położenia monitora w płaszczyźnie pionowej i poziomej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Monitor przystosowany do dezynfekcji i odkażania. </w:t>
            </w:r>
          </w:p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b/>
                <w:sz w:val="18"/>
                <w:szCs w:val="18"/>
              </w:rPr>
              <w:t>UWAGA:</w:t>
            </w:r>
            <w:r w:rsidRPr="009F0D31">
              <w:rPr>
                <w:rFonts w:ascii="Garamond" w:hAnsi="Garamond" w:cs="Arial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="Arial"/>
                <w:i/>
                <w:sz w:val="18"/>
                <w:szCs w:val="18"/>
              </w:rPr>
              <w:t>Podać środki dezynfekcyjne (min. 2 – nazwy i producenci) dopuszczone do stosowania przez producenta urządzenia.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Kompatybilność modułów pomiarowych dla wszystkich oferowanych kardiomonitorów (dotyczy modułów pomiarowych dla min.: EKG, inwazyjny i nieinwazyjny pomiar ciśnienia krwi, saturacja, temperatura, kapnografia)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Wszystkie akcesoria pomiarowe kompatybilne ze wszystkimi </w:t>
            </w: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oferowanymi monitorami oraz z elementem/modułem transportowym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Możliwość jednoczesnego monitorowania co najmniej następujących </w:t>
            </w:r>
          </w:p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EKG (3/7/12 odprowadzeń)/ST/Arytmia,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oddech,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saturacja krwi SpO2,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ciśnienie krwi metodą nieinwazyjną,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temperatura (dwa tory pomiarowe),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ciśnienie metodą inwazyjną (przynajmniej 2 tory pomiarowe),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głębokość uśpienia BIS lub entropia,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pomiar transmisji nerwowo-mięśniowej NMT,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8"/>
              </w:numPr>
              <w:spacing w:line="288" w:lineRule="auto"/>
              <w:ind w:left="0" w:firstLine="0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ciągły rzut minutowy serca,</w:t>
            </w:r>
          </w:p>
          <w:p w:rsidR="000C14B0" w:rsidRPr="009F0D31" w:rsidRDefault="000C14B0" w:rsidP="000C14B0">
            <w:pPr>
              <w:pStyle w:val="Standard"/>
              <w:spacing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 xml:space="preserve">lub </w:t>
            </w:r>
            <w:r w:rsidRPr="009F0D31">
              <w:rPr>
                <w:rFonts w:ascii="Garamond" w:hAnsi="Garamond"/>
                <w:color w:val="FF0000"/>
                <w:sz w:val="18"/>
                <w:szCs w:val="18"/>
              </w:rPr>
              <w:t>monitor pacjenta do aparatu do znieczulania, zapewniający jednoczesne monitorowanie: EKG (zgodnie z wymogami), Oddech, SpO2, NIBP, 2x Temp, 2x IBP, BIS lub Entropia, NMT, z możliwością pomiaru ciągłego rzutu minutowego serca zamiennie z BIS lub Entropią lub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Oprogramowanie i pomiary kardiomonitora dostosowane do różnych kategorii wiekowych pacjentów (dziecko/dorosły)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Monitor  wyposażony w maksymalnie jeden ekran typu TFT: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9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przekątna ekranu min. 15["], </w:t>
            </w:r>
          </w:p>
          <w:p w:rsidR="00CC7799" w:rsidRPr="009F0D31" w:rsidRDefault="00CC7799" w:rsidP="00CC7799">
            <w:pPr>
              <w:pStyle w:val="Standard"/>
              <w:numPr>
                <w:ilvl w:val="0"/>
                <w:numId w:val="19"/>
              </w:numPr>
              <w:spacing w:line="288" w:lineRule="auto"/>
              <w:ind w:left="0" w:firstLine="0"/>
              <w:rPr>
                <w:rFonts w:ascii="Garamond" w:hAnsi="Garamond" w:cs="Arial"/>
                <w:color w:val="00B0F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 xml:space="preserve">rozdzielczość min. 1024x768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Komunikacja monitora z użytkownikiem w języku polskim, obsługa i sterowanie monitorem poprzez ekran dotykowy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after="12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Kardiomonitory wyposażone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w element/moduł transportowy</w:t>
            </w:r>
            <w:r w:rsidRPr="009F0D31">
              <w:rPr>
                <w:rFonts w:ascii="Garamond" w:hAnsi="Garamond"/>
                <w:b/>
                <w:color w:val="00000A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zabierany z pacjentem na czas transportu, zapewniający ciągłość monitorowania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(bez jakichkolwiek przerw)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przynajmniej podstawowych parametrów (EKG, Oddech, NIBP, IBP, SpO2, temperatura), o masie wraz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lastRenderedPageBreak/>
              <w:t xml:space="preserve">z akumulatorem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nieprzekraczającej </w:t>
            </w:r>
            <w:r w:rsidRPr="009F0D31">
              <w:rPr>
                <w:rFonts w:ascii="Garamond" w:hAnsi="Garamond"/>
                <w:strike/>
                <w:color w:val="auto"/>
                <w:sz w:val="18"/>
                <w:szCs w:val="18"/>
              </w:rPr>
              <w:t>5 [kg].</w:t>
            </w:r>
            <w:r w:rsidR="000C14B0"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   </w:t>
            </w:r>
            <w:r w:rsidR="000C14B0" w:rsidRPr="009F0D31">
              <w:rPr>
                <w:rFonts w:ascii="Garamond" w:hAnsi="Garamond"/>
                <w:color w:val="FF0000"/>
                <w:sz w:val="18"/>
                <w:szCs w:val="18"/>
              </w:rPr>
              <w:t>6 [kg].</w:t>
            </w:r>
          </w:p>
          <w:p w:rsidR="000C14B0" w:rsidRPr="009F0D31" w:rsidRDefault="00CC7799" w:rsidP="000C14B0">
            <w:pPr>
              <w:pStyle w:val="Default"/>
              <w:spacing w:after="120"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Zasilanie akumulatorowe elementu/modułu transportowego min. </w:t>
            </w:r>
            <w:r w:rsidRPr="009F0D31">
              <w:rPr>
                <w:rFonts w:ascii="Garamond" w:hAnsi="Garamond"/>
                <w:strike/>
                <w:color w:val="00000A"/>
                <w:sz w:val="18"/>
                <w:szCs w:val="18"/>
              </w:rPr>
              <w:t>3 [godz.].</w:t>
            </w:r>
            <w:r w:rsidR="000C14B0"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    </w:t>
            </w:r>
            <w:r w:rsidR="000C14B0" w:rsidRPr="009F0D31">
              <w:rPr>
                <w:rFonts w:ascii="Garamond" w:hAnsi="Garamond"/>
                <w:color w:val="FF0000"/>
                <w:sz w:val="18"/>
                <w:szCs w:val="18"/>
              </w:rPr>
              <w:t>1,5 [godz.].</w:t>
            </w:r>
          </w:p>
          <w:p w:rsidR="00CC7799" w:rsidRPr="009F0D31" w:rsidRDefault="00CC7799" w:rsidP="00E76FFA">
            <w:pPr>
              <w:pStyle w:val="Default"/>
              <w:spacing w:after="120" w:line="288" w:lineRule="auto"/>
              <w:rPr>
                <w:rFonts w:ascii="Garamond" w:hAnsi="Garamond"/>
                <w:strike/>
                <w:color w:val="00000A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Element/moduł transportowy chłodzony konwekcyjne, bez użycia wentylatora.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Co najmniej 5 niezależnych konfiguracji ekranu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z możliwością łatwego ich przełączania bez utraty danych pacjenta.</w:t>
            </w:r>
          </w:p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Poszczególne konfiguracje programowane przez użytkownika, bez konieczności wzywania autoryzowanego serwisu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Pamięć różnych zestawów konfiguracji ekranu i innych funkcji monitora z łatwym przełączaniem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oraz możliwość ich modyfikacji w trakcie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Minimum 6 różnych krzywych dynamicznych wyświetlanych na ekranie jednocześnie (bez użycia funkcji 12 odprowadzeń EKG)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Oprogramowanie umożliwiające tworzenie raportów z przebiegu monitorowania – drukowanie na centralnej drukarce oraz na sieciowej drukarce laserowej</w:t>
            </w:r>
            <w:r w:rsidR="000C14B0"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 lub:</w:t>
            </w:r>
          </w:p>
          <w:p w:rsidR="000C14B0" w:rsidRPr="009F0D31" w:rsidRDefault="000C14B0" w:rsidP="000C14B0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FF0000"/>
                <w:sz w:val="18"/>
                <w:szCs w:val="18"/>
              </w:rPr>
              <w:t>monitor pacjenta umożliwiający wydruk raportu z przebiegu monitorowania na jednej drukarce sieciowej jednocześnie, z możliwością zmiany tej drukarki w ustawieniach monitora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Monitor dostosowany do pracy w systemie centralnego monitorowania, wyposażony w kartę sieciową do połączenia ze stacją centralnego monitorowania i innymi monitorami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Monitor posiadający możliwość jednoczesnego podłączenia co najmniej 3 zewnętrznych urządzeń medycznych z grupy:</w:t>
            </w:r>
          </w:p>
          <w:p w:rsidR="00CC7799" w:rsidRPr="009F0D31" w:rsidRDefault="00CC7799" w:rsidP="00CC7799">
            <w:pPr>
              <w:pStyle w:val="Default"/>
              <w:numPr>
                <w:ilvl w:val="0"/>
                <w:numId w:val="20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respirator lub aparat do znieczulania (sale operacyjne),</w:t>
            </w:r>
          </w:p>
          <w:p w:rsidR="00CC7799" w:rsidRPr="009F0D31" w:rsidRDefault="00CC7799" w:rsidP="00CC7799">
            <w:pPr>
              <w:pStyle w:val="Default"/>
              <w:numPr>
                <w:ilvl w:val="0"/>
                <w:numId w:val="20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>pompa infuzyjna,</w:t>
            </w:r>
          </w:p>
          <w:p w:rsidR="00CC7799" w:rsidRPr="009F0D31" w:rsidRDefault="00CC7799" w:rsidP="00CC7799">
            <w:pPr>
              <w:pStyle w:val="Default"/>
              <w:numPr>
                <w:ilvl w:val="0"/>
                <w:numId w:val="20"/>
              </w:numPr>
              <w:spacing w:after="60"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monitor hemodynamiczny (ciągłego rzutu minutowego serca).</w:t>
            </w:r>
          </w:p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i/>
                <w:color w:val="auto"/>
                <w:sz w:val="18"/>
                <w:szCs w:val="18"/>
              </w:rPr>
              <w:t>podłączenie musi umożliwiać odczyt danych pomiarowych z urządzeń zewnętrznych na ekranie monitora oraz  przesyłanie ich do stacji centralnego monitorowania i systemów szpitalnych poprzez protokół HL7.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after="60"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 z możliwością rozbudowy o dostęp do szpitalnego systemu bazy danych z komputerową historią choroby pacjenta.</w:t>
            </w:r>
          </w:p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i/>
                <w:color w:val="00000A"/>
                <w:sz w:val="18"/>
                <w:szCs w:val="18"/>
              </w:rPr>
              <w:t xml:space="preserve">możliwość dostępu oznacza podgląd </w:t>
            </w:r>
            <w:r w:rsidRPr="009F0D31">
              <w:rPr>
                <w:rFonts w:ascii="Garamond" w:hAnsi="Garamond"/>
                <w:i/>
                <w:color w:val="00000A"/>
                <w:sz w:val="18"/>
                <w:szCs w:val="18"/>
              </w:rPr>
              <w:br/>
              <w:t>i dokonywanie wpisów, zleceń, itp. danych.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B26ED4" w:rsidRPr="009F0D31" w:rsidRDefault="00B26ED4" w:rsidP="00B26ED4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tak – 3 pkt.,</w:t>
            </w:r>
          </w:p>
          <w:p w:rsidR="00B26ED4" w:rsidRPr="009F0D31" w:rsidRDefault="00B26ED4" w:rsidP="00B26ED4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nie – 0 pkt.</w:t>
            </w:r>
          </w:p>
        </w:tc>
      </w:tr>
      <w:tr w:rsidR="00CC7799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 z możliwością  rozbudowy o dostęp do udostępnianych w sieci informacji z systemu HIS – Hospital Information System za pośrednictwem standardowego interfejsu HL7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C7799" w:rsidRPr="009F0D31" w:rsidRDefault="00CC7799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 z możliwością rozbudowy o dostęp do obrazów radiologicznych i innych z diagnostyki obrazowej udostępnianych w sieci Intranet przez szpital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  <w:lang w:val="en-US"/>
              </w:rPr>
              <w:t>TAK</w:t>
            </w:r>
          </w:p>
          <w:p w:rsidR="00B26ED4" w:rsidRPr="009F0D31" w:rsidRDefault="00B26ED4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  <w:lang w:val="en-US"/>
              </w:rPr>
            </w:pPr>
          </w:p>
          <w:p w:rsidR="00B26ED4" w:rsidRPr="009F0D31" w:rsidRDefault="00B26ED4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  <w:lang w:val="en-US"/>
              </w:rPr>
              <w:t>podać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CD687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CD687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trike/>
                <w:sz w:val="18"/>
                <w:szCs w:val="18"/>
              </w:rPr>
            </w:pPr>
            <w:r w:rsidRPr="009F0D31">
              <w:rPr>
                <w:rFonts w:ascii="Garamond" w:hAnsi="Garamond" w:cs="Arial"/>
                <w:strike/>
                <w:sz w:val="18"/>
                <w:szCs w:val="18"/>
              </w:rPr>
              <w:t>- - -</w:t>
            </w:r>
          </w:p>
          <w:p w:rsidR="00B26ED4" w:rsidRPr="009F0D31" w:rsidRDefault="00B26ED4" w:rsidP="00CD687A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tak – 3 pkt.,</w:t>
            </w:r>
          </w:p>
          <w:p w:rsidR="00B26ED4" w:rsidRPr="009F0D31" w:rsidRDefault="00B26ED4" w:rsidP="00CD687A">
            <w:pPr>
              <w:pStyle w:val="Zawartotabeli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color w:val="FF0000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FF0000"/>
                <w:sz w:val="18"/>
                <w:szCs w:val="18"/>
              </w:rPr>
              <w:t>nie – 0 pkt.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Komunikacja pomiędzy monitorami – w postaci co najmniej podglądu danych i sygnalizacji alarmów występujących w innych monitorach znajdujących się w sieci monitorowania.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Trendy wszystkich monitorowanych parametrów w postaci cyfrowej i graficznej z ostatnich minimum 24 [godz.]</w:t>
            </w:r>
          </w:p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Możliwość wyświetlania trendów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w zaprogramowanych grupach.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Historia alarmów  - min. 50 przypadków wraz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z min. 4 krzywymi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Czasowe wyciszenie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Automatyczne ustawianie granic alarmowych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 xml:space="preserve">w monitorze w stosunku do aktualnych pomiarów pacjenta. </w:t>
            </w:r>
          </w:p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Ręczne ustawianie granic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sz w:val="18"/>
                <w:szCs w:val="18"/>
              </w:rPr>
              <w:t>Pomiar EKG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Monitorowanie 12 odprowadzeń EKG – wyświetlanie od 1 do 12 odprowadzeń jednocześnie – programowane przez użytkownika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Wieloodprowadzeniowa analiza EKG do zliczania częstości akcji serca i do analizy arytmii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Minimum 2 odprowadzenia analizowane jednocześnie, z możliwością używania tylko 1-go odprowadzenia do analizy.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Klasyfikacja minimum 12 rodzajów zaburzeń rytmu wraz z alarmami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i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Wartość wymagana – 1 pkt.,</w:t>
            </w:r>
          </w:p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wyższa niż wymagana – 2 pkt.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Pomiaru pulsu z sygnału EKG [1/min]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zakres min. od 20 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Analiza odcinka ST z wszystkich 12-tu odprowadzeń (w przypadku monitorowania 12-tu odprowadzeń)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 xml:space="preserve">z prezentacją w czasie rzeczywistym (krzywe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i wartości odcinka ST)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Monitorowanie ST – z każdego monitorowanego odprowadzenia[mm]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</w:t>
            </w: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zakres min. od -10,0 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+10,0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W komplecie dla każdego monitora wielorazowy przewód EKG 3 odprowadzeniowy oraz wielorazowy przewód do monitorowania 12 odprowadzeń EKG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br/>
              <w:t>(5- lub 6- lub 12-elektrodowy)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 xml:space="preserve">częstości oddechu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częstości oddechu metodą impedancyjną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Wyświetlane wartości cyfrowe i fala oddechu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Minimalny zakres pomiarowy [odd./min]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  <w:lang w:val="en-US"/>
              </w:rPr>
              <w:t xml:space="preserve"> </w:t>
            </w: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>od 1 do 150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Dokładność pomiaru w zakresie min. od 1 do 120 [odd./min] nie gorsza niż +/-1 oddech lub 2% pomiaru (w zależności od tego, która dokładność jest lepsza)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sz w:val="18"/>
                <w:szCs w:val="18"/>
              </w:rPr>
              <w:t xml:space="preserve">Pomiar </w:t>
            </w: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Algorytm pomiarowy odporny na niską perfuzję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br/>
              <w:t>i artefakty ruchowe oparty na technologiach: Masimo lub Nellcor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Standard"/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Technologia Nellcor – 2 pkt.,</w:t>
            </w:r>
          </w:p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Technologia Masimo – 1 pkt.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Wyświetlane wartości cyfrowe saturacji tętna i krzywa pletyzmograficzna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Alarm desaturacji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Możliwość podłączenia drugiego modułu do pomiaru 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komplecie dla każdego monitora wielorazowy czujnik pomiarowy na palec oraz 10 [szt.] wielorazowych czujników na ucho na wszystkie stanowiska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 na żądanie, automatyczny co określony czas, ciągłe pomiary przez określony czas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spacing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Z funkcją stazy żylnej – 1 pkt.,</w:t>
            </w:r>
          </w:p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brak stazy żylnej – 0 pkt.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Zakres odstępów czasowych automatycznych pomiarów przynajmniej w zakresie 1 [minuta] – 4 [godziny]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W komplecie do każdego monitora przewód i zestaw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br/>
              <w:t xml:space="preserve">4 wielorazowych mankietów dla dorosłych: </w:t>
            </w:r>
          </w:p>
          <w:p w:rsidR="00B26ED4" w:rsidRPr="009F0D31" w:rsidRDefault="00B26ED4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1 x mały, </w:t>
            </w:r>
          </w:p>
          <w:p w:rsidR="00B26ED4" w:rsidRPr="009F0D31" w:rsidRDefault="00B26ED4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2 x standard, </w:t>
            </w:r>
          </w:p>
          <w:p w:rsidR="00B26ED4" w:rsidRPr="009F0D31" w:rsidRDefault="00B26ED4" w:rsidP="00CC7799">
            <w:pPr>
              <w:pStyle w:val="Default"/>
              <w:numPr>
                <w:ilvl w:val="0"/>
                <w:numId w:val="21"/>
              </w:numPr>
              <w:spacing w:line="288" w:lineRule="auto"/>
              <w:ind w:left="0" w:firstLine="0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1 x duży.</w:t>
            </w:r>
          </w:p>
          <w:p w:rsidR="00B26ED4" w:rsidRPr="009F0D31" w:rsidRDefault="00B26ED4" w:rsidP="00E76FFA">
            <w:pPr>
              <w:pStyle w:val="Default"/>
              <w:spacing w:before="6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color w:val="auto"/>
                <w:sz w:val="18"/>
                <w:szCs w:val="18"/>
              </w:rPr>
              <w:t>UWAGA: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i/>
                <w:color w:val="auto"/>
                <w:sz w:val="18"/>
                <w:szCs w:val="18"/>
              </w:rPr>
              <w:t>mankiety pomiarowe wolne od lateksu.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Zakres pomiarowy [°C]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  <w:lang w:val="en-US"/>
              </w:rPr>
              <w:t xml:space="preserve"> </w:t>
            </w: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>min.: 0 – 45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Min. 2 tory pomiarowe temperatury – w komplecie do każdego monitora czujnik do pomiaru temperatury powierzchniowej i centralnej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Zakres pomiarowy ciśnienia minimum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min. </w:t>
            </w:r>
          </w:p>
          <w:p w:rsidR="00B26ED4" w:rsidRPr="009F0D31" w:rsidRDefault="00B26ED4" w:rsidP="00B26ED4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od </w:t>
            </w:r>
            <w:r w:rsidRPr="009F0D31">
              <w:rPr>
                <w:rFonts w:ascii="Garamond" w:hAnsi="Garamond" w:cs="Arial"/>
                <w:strike/>
                <w:color w:val="00000A"/>
                <w:sz w:val="18"/>
                <w:szCs w:val="18"/>
              </w:rPr>
              <w:t>–40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 xml:space="preserve">  </w:t>
            </w:r>
            <w:r w:rsidRPr="009F0D31">
              <w:rPr>
                <w:rFonts w:ascii="Garamond" w:hAnsi="Garamond" w:cs="Arial"/>
                <w:b/>
                <w:color w:val="FF0000"/>
                <w:sz w:val="18"/>
                <w:szCs w:val="18"/>
              </w:rPr>
              <w:t>–25</w:t>
            </w: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br/>
              <w:t>do +300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Minimum 2 tory pomiarowe IBP z możliwością rozbudowy do 4 torów w kardiomonitorach na sale operacyjne i OIT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Minimum 1 tor pomiarowy IBP w kardiomonitorach na OIOK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 xml:space="preserve">Każdy monitor wyposażony w 1 kabel IBP na każdy </w:t>
            </w: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lastRenderedPageBreak/>
              <w:t>zaoferowany kanał pomiarowy oraz zestaw 20 [szt.] przetworników jednorazowych do pomiaru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auto"/>
                <w:sz w:val="18"/>
                <w:szCs w:val="18"/>
              </w:rPr>
              <w:t xml:space="preserve">Ciągły pomiar rzutu minutowego serca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bCs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auto"/>
                <w:sz w:val="18"/>
                <w:szCs w:val="18"/>
              </w:rPr>
              <w:t xml:space="preserve">Ciągły pomiar rzutu minutowego serca metodą PICCO </w:t>
            </w:r>
          </w:p>
          <w:p w:rsidR="00B26ED4" w:rsidRPr="009F0D31" w:rsidRDefault="00B26ED4" w:rsidP="00E76FFA">
            <w:pPr>
              <w:pStyle w:val="Default"/>
              <w:spacing w:before="60"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skład mierzonych parametrów muszą wchodzić minimum następujące: Ciągły rzut serca, Systemowy opór naczyniowy, Objętość wyrzutowa/Indeks, Zmienność objętości wyrzutowej, Zmienność ciśnienia tętna, Objętość krwi w klatce piersiowej, Pozanaczyniowa woda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W zestawie dla każdego modułu przewody do podłączenia czujników jednorazowych oraz zestaw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stężenia wdechowo-wydechowego CO2 (kapnografii)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Pomiar stężenia wdechowo-wydechowego CO2 (kapnografii)</w:t>
            </w: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>– pomiar w strumieniu bocznym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Zakres pomiarowy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color w:val="00000A"/>
                <w:sz w:val="18"/>
                <w:szCs w:val="18"/>
              </w:rPr>
              <w:t>min. od 0 do 99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Prezentacja cyfrowa pomiaru oraz prezentacja krzywej kapnograficznej.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hAnsi="Garamond"/>
                <w:color w:val="auto"/>
                <w:sz w:val="18"/>
                <w:szCs w:val="18"/>
              </w:rPr>
              <w:t>Wykrywanie bezdechów z regulowanym czasem tolerancji lub:</w:t>
            </w:r>
          </w:p>
          <w:p w:rsidR="00B26ED4" w:rsidRPr="009F0D31" w:rsidRDefault="00B26ED4" w:rsidP="00B26ED4">
            <w:pPr>
              <w:pStyle w:val="Default"/>
              <w:spacing w:line="288" w:lineRule="auto"/>
              <w:jc w:val="both"/>
              <w:rPr>
                <w:rFonts w:ascii="Garamond" w:hAnsi="Garamond"/>
                <w:color w:val="auto"/>
                <w:sz w:val="18"/>
                <w:szCs w:val="18"/>
              </w:rPr>
            </w:pPr>
            <w:r w:rsidRPr="009F0D31">
              <w:rPr>
                <w:rFonts w:ascii="Garamond" w:eastAsia="Times New Roman" w:hAnsi="Garamond"/>
                <w:color w:val="FF0000"/>
                <w:sz w:val="18"/>
                <w:szCs w:val="18"/>
                <w:lang w:eastAsia="pl-PL"/>
              </w:rPr>
              <w:t>monitor pacjenta z możliwością pośredniego monitorowania bezdechu poprzez regulację dolnej granicy alarmu częstości oddechowej od 4odd/min w górę, czyli od przerwy pomiędzy oddechami trwającej 15 sekund (alarm realizowany zarówno za pośrednictwem impedancyjnego pomiaru oddechu z wykorzystaniem elektrod EKG, jak i poprzez pomiar CO2)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 xml:space="preserve">Moduł kompatybilny z monitorami zaoferowanymi na salę </w:t>
            </w: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lastRenderedPageBreak/>
              <w:t>wybudzeń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lastRenderedPageBreak/>
              <w:t>84.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 nie wymagający kalibracji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zestawie do każdego modułu min. 10 [szt.] akcesoriów jednorazowych do pomiaru u pacjentów zaintubowanych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entropii lub głębokości znieczulenia/sedacji metodą BIS/entropia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 xml:space="preserve">Pomiar entropii lub głębokości znieczulenia/sedacji metodą BIS/entropia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zestawie do każdego modułu wielorazowy kabel pomiarowy oraz min.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/>
                <w:bCs/>
                <w:color w:val="00000A"/>
                <w:sz w:val="18"/>
                <w:szCs w:val="18"/>
              </w:rPr>
              <w:t>Pomiar zwiotczenia mięśniowego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bCs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bCs/>
                <w:color w:val="00000A"/>
                <w:sz w:val="18"/>
                <w:szCs w:val="18"/>
              </w:rPr>
              <w:t xml:space="preserve">Pomiar zwiotczenia mięśniowego NMT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89.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Pomiar metodą ST, TOF i PTC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  <w:tr w:rsidR="00B26ED4" w:rsidRPr="009F0D31" w:rsidTr="00E76FFA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90.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26ED4" w:rsidRPr="009F0D31" w:rsidRDefault="00B26ED4" w:rsidP="00E76FFA">
            <w:pPr>
              <w:pStyle w:val="Default"/>
              <w:spacing w:line="288" w:lineRule="auto"/>
              <w:jc w:val="both"/>
              <w:rPr>
                <w:rFonts w:ascii="Garamond" w:hAnsi="Garamond"/>
                <w:color w:val="00000A"/>
                <w:sz w:val="18"/>
                <w:szCs w:val="18"/>
              </w:rPr>
            </w:pPr>
            <w:r w:rsidRPr="009F0D31">
              <w:rPr>
                <w:rFonts w:ascii="Garamond" w:hAnsi="Garamond"/>
                <w:color w:val="00000A"/>
                <w:sz w:val="18"/>
                <w:szCs w:val="18"/>
              </w:rPr>
              <w:t>W zestawie do każdego modułu wielorazowy kabel pomiarowy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  <w:r w:rsidRPr="009F0D31">
              <w:rPr>
                <w:rFonts w:ascii="Garamond" w:hAnsi="Garamond" w:cs="Arial"/>
                <w:sz w:val="18"/>
                <w:szCs w:val="18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26ED4" w:rsidRPr="009F0D31" w:rsidRDefault="00B26ED4" w:rsidP="00E76FFA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6ED4" w:rsidRPr="009F0D31" w:rsidRDefault="00B26ED4" w:rsidP="00E76FFA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9F0D31">
              <w:rPr>
                <w:rFonts w:ascii="Garamond" w:hAnsi="Garamond" w:cs="Arial"/>
                <w:sz w:val="18"/>
                <w:szCs w:val="18"/>
              </w:rPr>
              <w:t>- - -</w:t>
            </w:r>
          </w:p>
        </w:tc>
      </w:tr>
    </w:tbl>
    <w:p w:rsidR="00CC7799" w:rsidRPr="009F0D31" w:rsidRDefault="00CC7799" w:rsidP="00CC7799">
      <w:pPr>
        <w:rPr>
          <w:rFonts w:ascii="Garamond" w:hAnsi="Garamond"/>
          <w:sz w:val="18"/>
          <w:szCs w:val="18"/>
        </w:rPr>
      </w:pPr>
    </w:p>
    <w:p w:rsidR="00CC7799" w:rsidRPr="009F0D31" w:rsidRDefault="00CC7799" w:rsidP="00CC7799">
      <w:pPr>
        <w:pStyle w:val="Standard"/>
        <w:spacing w:line="288" w:lineRule="auto"/>
        <w:rPr>
          <w:rFonts w:ascii="Garamond" w:hAnsi="Garamond" w:cstheme="minorHAnsi"/>
          <w:b/>
          <w:sz w:val="18"/>
          <w:szCs w:val="18"/>
        </w:rPr>
      </w:pPr>
      <w:r w:rsidRPr="009F0D31">
        <w:rPr>
          <w:rFonts w:ascii="Garamond" w:hAnsi="Garamond" w:cstheme="minorHAnsi"/>
          <w:b/>
          <w:sz w:val="18"/>
          <w:szCs w:val="18"/>
        </w:rPr>
        <w:t xml:space="preserve">Warunki gwarancji i serwisu </w:t>
      </w:r>
    </w:p>
    <w:p w:rsidR="00CC7799" w:rsidRPr="009F0D31" w:rsidRDefault="00CC7799" w:rsidP="00CC7799">
      <w:pPr>
        <w:pStyle w:val="Standard"/>
        <w:spacing w:line="288" w:lineRule="auto"/>
        <w:rPr>
          <w:rFonts w:ascii="Garamond" w:hAnsi="Garamond" w:cstheme="minorHAnsi"/>
          <w:b/>
          <w:sz w:val="18"/>
          <w:szCs w:val="18"/>
        </w:rPr>
      </w:pPr>
    </w:p>
    <w:tbl>
      <w:tblPr>
        <w:tblW w:w="13042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2410"/>
      </w:tblGrid>
      <w:tr w:rsidR="00CC7799" w:rsidRPr="009F0D31" w:rsidTr="00E76FFA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CC7799" w:rsidRPr="009F0D31" w:rsidRDefault="00CC7799" w:rsidP="00E76FFA">
            <w:pPr>
              <w:pStyle w:val="TableContents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Sposób oceny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Gwarancja na aparat </w:t>
            </w:r>
            <w:r w:rsidR="00CB28EA" w:rsidRPr="009F0D31">
              <w:rPr>
                <w:rFonts w:ascii="Garamond" w:hAnsi="Garamond" w:cstheme="minorHAnsi"/>
                <w:sz w:val="18"/>
                <w:szCs w:val="18"/>
              </w:rPr>
              <w:t>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&gt;= </w:t>
            </w:r>
            <w:r w:rsidRPr="009F0D31">
              <w:rPr>
                <w:rFonts w:ascii="Garamond" w:hAnsi="Garamond" w:cstheme="minorHAnsi"/>
                <w:strike/>
                <w:sz w:val="18"/>
                <w:szCs w:val="18"/>
              </w:rPr>
              <w:t>12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, </w:t>
            </w:r>
            <w:r w:rsidR="008671EE"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>36</w:t>
            </w:r>
            <w:r w:rsidR="008671EE" w:rsidRPr="009F0D31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trike/>
                <w:sz w:val="18"/>
                <w:szCs w:val="18"/>
              </w:rPr>
              <w:t>24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="008671EE"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>48</w:t>
            </w:r>
            <w:r w:rsidR="008671EE" w:rsidRPr="009F0D31">
              <w:rPr>
                <w:rFonts w:ascii="Garamond" w:hAnsi="Garamond" w:cstheme="minorHAnsi"/>
                <w:strike/>
                <w:color w:val="FF0000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miesiące i więcej – 5 pkt.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mniejsze wartości – 1 pkt.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9F0D31">
              <w:rPr>
                <w:rFonts w:ascii="Garamond" w:hAnsi="Garamond" w:cstheme="minorHAnsi"/>
                <w:color w:val="FF0000"/>
                <w:sz w:val="18"/>
                <w:szCs w:val="18"/>
              </w:rPr>
              <w:t xml:space="preserve">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Liczba przeglądów okresowych niezbędnych do wykonywania po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lastRenderedPageBreak/>
              <w:t>upływie gwarancji dla potwierdzenia bezpiecznej eksploatacji aparatu – podać, opisać zakres.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lastRenderedPageBreak/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Maksymalny czas naprawy  nie może przekroczyć 10 dni roboczych, w przypadku naprawy dłuższej niż 5 dni roboczych – aparat zastępczy o min. identycznych parametrach lub lepszy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Czas reakcji serwisu (przyjęte zgłoszenie – podjęta naprawa) 2 dni robocze.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Szkolenia dla personelu  medycznego z zakresu obsługi urządzenia (8 osób) w momencie jego instalacji i odbioru; w razie potrzeby możliwość stałego wsparcia aplikacyjnego w początkowym okresie pracy urządzeń (dodatkowe szkolenie, dodatkowa grupa osób, konsultacje, itp. </w:t>
            </w:r>
            <w:r w:rsidR="00DF5615" w:rsidRPr="009F0D31">
              <w:rPr>
                <w:rFonts w:ascii="Garamond" w:hAnsi="Garamond" w:cstheme="minorHAnsi"/>
                <w:sz w:val="18"/>
                <w:szCs w:val="18"/>
              </w:rPr>
              <w:t>również 8 osób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t>) – potwierdzone certyfikatem.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(1) - Należy przewidzieć szkolenia w wymiarze do 2 dni roboczych oraz zapewnić możliwość stałego wsparcia aplikacyjnego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Akapitzlist"/>
              <w:spacing w:line="288" w:lineRule="auto"/>
              <w:ind w:left="0"/>
              <w:jc w:val="both"/>
              <w:rPr>
                <w:rFonts w:ascii="Garamond" w:eastAsia="Times New Roman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itp., również 2 osoby) – potwierdzone certyfikatem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(1) - Należy przewidzieć szkolenia w wymiarze do 2 dni roboczych oraz zapewnić możliwość stałego wsparcia aplikacyjnego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i/>
                <w:sz w:val="18"/>
                <w:szCs w:val="18"/>
              </w:rPr>
            </w:pPr>
          </w:p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i/>
                <w:sz w:val="18"/>
                <w:szCs w:val="18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both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 xml:space="preserve">Aparat jest lub będzie pozbawiony kodów serwisowych i innych zabezpieczeń, które po upływie okresu gwarancji utrudniałyby dostęp do aparatu i jego serwisowanie pracownikom technicznym </w:t>
            </w:r>
            <w:r w:rsidRPr="009F0D31">
              <w:rPr>
                <w:rFonts w:ascii="Garamond" w:hAnsi="Garamond" w:cstheme="minorHAnsi"/>
                <w:sz w:val="18"/>
                <w:szCs w:val="18"/>
              </w:rPr>
              <w:lastRenderedPageBreak/>
              <w:t xml:space="preserve">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  <w:tr w:rsidR="00CC7799" w:rsidRPr="009F0D31" w:rsidTr="00E76FFA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7799" w:rsidRPr="009F0D31" w:rsidRDefault="00CC7799" w:rsidP="00CC7799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C7799" w:rsidRPr="009F0D31" w:rsidRDefault="00CC7799" w:rsidP="00E76FFA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Garamond" w:hAnsi="Garamond" w:cstheme="minorHAnsi"/>
                <w:sz w:val="18"/>
                <w:szCs w:val="18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7799" w:rsidRPr="009F0D31" w:rsidRDefault="00CC7799" w:rsidP="00E76FFA">
            <w:pPr>
              <w:pStyle w:val="Standard"/>
              <w:snapToGrid w:val="0"/>
              <w:spacing w:line="288" w:lineRule="auto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9F0D31">
              <w:rPr>
                <w:rFonts w:ascii="Garamond" w:hAnsi="Garamond" w:cstheme="minorHAnsi"/>
                <w:sz w:val="18"/>
                <w:szCs w:val="18"/>
              </w:rPr>
              <w:t>- - -</w:t>
            </w:r>
          </w:p>
        </w:tc>
      </w:tr>
    </w:tbl>
    <w:p w:rsidR="00CC7799" w:rsidRPr="009F0D31" w:rsidRDefault="00CC7799" w:rsidP="00CC7799">
      <w:pPr>
        <w:pStyle w:val="Standard"/>
        <w:spacing w:line="288" w:lineRule="auto"/>
        <w:rPr>
          <w:rFonts w:ascii="Garamond" w:hAnsi="Garamond" w:cstheme="minorHAnsi"/>
          <w:sz w:val="18"/>
          <w:szCs w:val="18"/>
        </w:rPr>
      </w:pPr>
    </w:p>
    <w:p w:rsidR="00CC7799" w:rsidRPr="009F0D31" w:rsidRDefault="00CC7799" w:rsidP="00CC7799">
      <w:pPr>
        <w:rPr>
          <w:rFonts w:ascii="Garamond" w:hAnsi="Garamond"/>
          <w:sz w:val="18"/>
          <w:szCs w:val="18"/>
        </w:rPr>
      </w:pPr>
    </w:p>
    <w:p w:rsidR="004853A7" w:rsidRPr="009F0D31" w:rsidRDefault="004853A7" w:rsidP="00CF024F">
      <w:pPr>
        <w:rPr>
          <w:rFonts w:ascii="Garamond" w:hAnsi="Garamond"/>
          <w:sz w:val="18"/>
          <w:szCs w:val="18"/>
        </w:rPr>
      </w:pPr>
      <w:bookmarkStart w:id="0" w:name="_GoBack"/>
      <w:bookmarkEnd w:id="0"/>
    </w:p>
    <w:sectPr w:rsidR="004853A7" w:rsidRPr="009F0D31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45" w:rsidRDefault="00515A45" w:rsidP="00FC5DE8">
      <w:pPr>
        <w:spacing w:after="0" w:line="240" w:lineRule="auto"/>
      </w:pPr>
      <w:r>
        <w:separator/>
      </w:r>
    </w:p>
  </w:endnote>
  <w:endnote w:type="continuationSeparator" w:id="0">
    <w:p w:rsidR="00515A45" w:rsidRDefault="00515A45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A44362" w:rsidRPr="00396FC2" w:rsidRDefault="00A44362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9F0D31">
          <w:rPr>
            <w:rFonts w:ascii="Garamond" w:hAnsi="Garamond"/>
            <w:noProof/>
          </w:rPr>
          <w:t>23</w:t>
        </w:r>
        <w:r w:rsidRPr="00396FC2">
          <w:rPr>
            <w:rFonts w:ascii="Garamond" w:hAnsi="Garamond"/>
          </w:rPr>
          <w:fldChar w:fldCharType="end"/>
        </w:r>
      </w:p>
      <w:p w:rsidR="00A44362" w:rsidRDefault="00A44362" w:rsidP="00321A48">
        <w:pPr>
          <w:pStyle w:val="Stopka"/>
          <w:rPr>
            <w:rFonts w:ascii="Garamond" w:hAnsi="Garamond"/>
            <w:i/>
            <w:iCs/>
          </w:rPr>
        </w:pPr>
      </w:p>
      <w:p w:rsidR="00A44362" w:rsidRPr="0097462E" w:rsidRDefault="00A44362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A44362" w:rsidRDefault="00515A45">
        <w:pPr>
          <w:pStyle w:val="Stopka"/>
          <w:jc w:val="right"/>
        </w:pPr>
      </w:p>
    </w:sdtContent>
  </w:sdt>
  <w:p w:rsidR="00A44362" w:rsidRDefault="00A443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45" w:rsidRDefault="00515A45" w:rsidP="00FC5DE8">
      <w:pPr>
        <w:spacing w:after="0" w:line="240" w:lineRule="auto"/>
      </w:pPr>
      <w:r>
        <w:separator/>
      </w:r>
    </w:p>
  </w:footnote>
  <w:footnote w:type="continuationSeparator" w:id="0">
    <w:p w:rsidR="00515A45" w:rsidRDefault="00515A45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362" w:rsidRDefault="00A44362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DFZP-BM-271-204/2017                                                                                                                                                                     Załącznik nr 1a do specyfikacji</w:t>
    </w:r>
  </w:p>
  <w:p w:rsidR="00A44362" w:rsidRPr="00321A48" w:rsidRDefault="00A44362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A44362" w:rsidRDefault="00A443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9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10"/>
  </w:num>
  <w:num w:numId="5">
    <w:abstractNumId w:val="2"/>
  </w:num>
  <w:num w:numId="6">
    <w:abstractNumId w:val="18"/>
  </w:num>
  <w:num w:numId="7">
    <w:abstractNumId w:val="9"/>
  </w:num>
  <w:num w:numId="8">
    <w:abstractNumId w:val="3"/>
  </w:num>
  <w:num w:numId="9">
    <w:abstractNumId w:val="6"/>
  </w:num>
  <w:num w:numId="10">
    <w:abstractNumId w:val="16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D5"/>
    <w:rsid w:val="00011CBD"/>
    <w:rsid w:val="00033923"/>
    <w:rsid w:val="00092C6D"/>
    <w:rsid w:val="000A2BFE"/>
    <w:rsid w:val="000C14B0"/>
    <w:rsid w:val="001200D7"/>
    <w:rsid w:val="001D53DE"/>
    <w:rsid w:val="001D7671"/>
    <w:rsid w:val="001F44CA"/>
    <w:rsid w:val="0020451A"/>
    <w:rsid w:val="00214B82"/>
    <w:rsid w:val="002267F6"/>
    <w:rsid w:val="0025608B"/>
    <w:rsid w:val="00263C3D"/>
    <w:rsid w:val="00265A6C"/>
    <w:rsid w:val="002A4097"/>
    <w:rsid w:val="002B44EB"/>
    <w:rsid w:val="002F4A85"/>
    <w:rsid w:val="003051B2"/>
    <w:rsid w:val="00305ADC"/>
    <w:rsid w:val="00321A48"/>
    <w:rsid w:val="00386BDE"/>
    <w:rsid w:val="004853A7"/>
    <w:rsid w:val="00486F02"/>
    <w:rsid w:val="004A1CF7"/>
    <w:rsid w:val="004A2FE6"/>
    <w:rsid w:val="004B43E2"/>
    <w:rsid w:val="004C53BF"/>
    <w:rsid w:val="004D2863"/>
    <w:rsid w:val="005051C7"/>
    <w:rsid w:val="00515A45"/>
    <w:rsid w:val="00536EE3"/>
    <w:rsid w:val="005D24AB"/>
    <w:rsid w:val="00600BB1"/>
    <w:rsid w:val="006123FD"/>
    <w:rsid w:val="00667774"/>
    <w:rsid w:val="006C5870"/>
    <w:rsid w:val="00702EE0"/>
    <w:rsid w:val="00730651"/>
    <w:rsid w:val="00766E2D"/>
    <w:rsid w:val="007E046A"/>
    <w:rsid w:val="008104FF"/>
    <w:rsid w:val="00812580"/>
    <w:rsid w:val="008671EE"/>
    <w:rsid w:val="00897EFA"/>
    <w:rsid w:val="008B7CF1"/>
    <w:rsid w:val="008D66A0"/>
    <w:rsid w:val="008E024B"/>
    <w:rsid w:val="008F49E6"/>
    <w:rsid w:val="009A4E80"/>
    <w:rsid w:val="009F0D31"/>
    <w:rsid w:val="00A44362"/>
    <w:rsid w:val="00A96134"/>
    <w:rsid w:val="00AE241A"/>
    <w:rsid w:val="00B22BCD"/>
    <w:rsid w:val="00B26347"/>
    <w:rsid w:val="00B26ED4"/>
    <w:rsid w:val="00B77552"/>
    <w:rsid w:val="00B8719C"/>
    <w:rsid w:val="00BA2BCE"/>
    <w:rsid w:val="00BD72C1"/>
    <w:rsid w:val="00C114DF"/>
    <w:rsid w:val="00C43EB8"/>
    <w:rsid w:val="00C648BE"/>
    <w:rsid w:val="00C95E77"/>
    <w:rsid w:val="00CB28EA"/>
    <w:rsid w:val="00CC7799"/>
    <w:rsid w:val="00CF024F"/>
    <w:rsid w:val="00CF3A37"/>
    <w:rsid w:val="00D22676"/>
    <w:rsid w:val="00D2680D"/>
    <w:rsid w:val="00D42625"/>
    <w:rsid w:val="00D763E7"/>
    <w:rsid w:val="00D973D5"/>
    <w:rsid w:val="00DF5615"/>
    <w:rsid w:val="00E60DFD"/>
    <w:rsid w:val="00E76FFA"/>
    <w:rsid w:val="00EA1459"/>
    <w:rsid w:val="00EC04D6"/>
    <w:rsid w:val="00F41B85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F921D-DB44-4832-A88E-924A606D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  <w:style w:type="paragraph" w:customStyle="1" w:styleId="Zawartotabeli">
    <w:name w:val="Zawartość tabeli"/>
    <w:basedOn w:val="Normalny"/>
    <w:rsid w:val="00CC77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CC7799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EE8FF-17C6-4FC6-A690-9BB6AE2E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3707</Words>
  <Characters>22243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17</cp:revision>
  <cp:lastPrinted>2017-10-02T08:32:00Z</cp:lastPrinted>
  <dcterms:created xsi:type="dcterms:W3CDTF">2017-11-03T10:06:00Z</dcterms:created>
  <dcterms:modified xsi:type="dcterms:W3CDTF">2017-11-06T12:01:00Z</dcterms:modified>
</cp:coreProperties>
</file>