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B2" w:rsidRPr="000D4214" w:rsidRDefault="003051B2" w:rsidP="003051B2">
      <w:pPr>
        <w:pStyle w:val="Tytu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OPIS PRZEDMIOTU ZAMÓWIENIA</w:t>
      </w:r>
    </w:p>
    <w:p w:rsidR="003051B2" w:rsidRPr="000D4214" w:rsidRDefault="003051B2" w:rsidP="003051B2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3051B2" w:rsidRPr="000D4214" w:rsidRDefault="003051B2" w:rsidP="003051B2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0D4214">
        <w:rPr>
          <w:rFonts w:ascii="Century Gothic" w:hAnsi="Century Gothic"/>
          <w:b/>
          <w:u w:val="single"/>
        </w:rPr>
        <w:t>Aparat USG z kolorowym Dopplerem (dla OK Neonatologii)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Uwagi i objaśnienia: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18"/>
          <w:szCs w:val="18"/>
        </w:rPr>
      </w:pP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0D4214">
        <w:rPr>
          <w:rFonts w:ascii="Century Gothic" w:hAnsi="Century Gothic"/>
          <w:sz w:val="18"/>
          <w:szCs w:val="18"/>
        </w:rPr>
        <w:t>rekondycjonowanym</w:t>
      </w:r>
      <w:proofErr w:type="spellEnd"/>
      <w:r w:rsidRPr="000D4214"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Rok produkcji (min. 2017): …..............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Klasa wyrobu medycznego: 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3051B2" w:rsidRPr="000D4214" w:rsidRDefault="003051B2" w:rsidP="003051B2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r w:rsidRPr="000D4214">
        <w:rPr>
          <w:rFonts w:ascii="Century Gothic" w:hAnsi="Century Gothic"/>
          <w:b/>
        </w:rPr>
        <w:t>Parametry techniczne i eksploatacyjne</w:t>
      </w:r>
    </w:p>
    <w:tbl>
      <w:tblPr>
        <w:tblW w:w="14160" w:type="dxa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9"/>
        <w:gridCol w:w="4681"/>
        <w:gridCol w:w="1562"/>
        <w:gridCol w:w="3115"/>
        <w:gridCol w:w="4113"/>
      </w:tblGrid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  <w:b/>
              </w:rPr>
              <w:t>Lp.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jc w:val="center"/>
              <w:rPr>
                <w:rFonts w:ascii="Century Gothic" w:hAnsi="Century Gothic" w:cs="Arial"/>
                <w:i w:val="0"/>
                <w:sz w:val="20"/>
              </w:rPr>
            </w:pPr>
            <w:r w:rsidRPr="000D4214">
              <w:rPr>
                <w:rFonts w:ascii="Century Gothic" w:hAnsi="Century Gothic" w:cs="Arial"/>
                <w:i w:val="0"/>
                <w:sz w:val="20"/>
              </w:rPr>
              <w:t>Opis parametrów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pStyle w:val="NormalnyWeb"/>
              <w:keepNext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Web"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oferowany</w:t>
            </w:r>
          </w:p>
          <w:p w:rsidR="003051B2" w:rsidRPr="000D4214" w:rsidRDefault="003051B2" w:rsidP="005335E6">
            <w:pPr>
              <w:pStyle w:val="NormalnyWeb"/>
              <w:keepNext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pStyle w:val="NormalnyWeb"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sz w:val="20"/>
                <w:szCs w:val="20"/>
              </w:rPr>
              <w:t>Sposób oceny pkt.</w:t>
            </w:r>
          </w:p>
        </w:tc>
      </w:tr>
      <w:tr w:rsidR="003051B2" w:rsidRPr="000D4214" w:rsidTr="005335E6">
        <w:trPr>
          <w:trHeight w:val="5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</w:rPr>
              <w:t xml:space="preserve">Parametry ogólne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spacing w:line="288" w:lineRule="auto"/>
              <w:rPr>
                <w:rFonts w:ascii="Century Gothic" w:hAnsi="Century Gothic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Model / typ aparatu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Producent: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Kraj pochodzenia: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Standard"/>
              <w:autoSpaceDE w:val="0"/>
              <w:spacing w:line="288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  <w:szCs w:val="20"/>
              </w:rPr>
              <w:t>Autoryzacja  na sprzedaż na terenie Polski</w:t>
            </w:r>
            <w:r w:rsidRPr="000D4214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D7137">
              <w:rPr>
                <w:rFonts w:ascii="Century Gothic" w:hAnsi="Century Gothic" w:cs="Arial"/>
                <w:sz w:val="20"/>
                <w:szCs w:val="20"/>
              </w:rPr>
              <w:t>Potwierdzić odpowiednim dokumentem.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 – 0 pkt</w:t>
            </w:r>
            <w:r w:rsidRPr="000D4214">
              <w:rPr>
                <w:rFonts w:ascii="Century Gothic" w:hAnsi="Century Gothic" w:cs="Arial"/>
                <w:color w:val="000000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Standard"/>
              <w:autoSpaceDE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  <w:szCs w:val="20"/>
              </w:rPr>
              <w:t>Autoryzowany przez producenta aparatu serwis gwarancyjny i pogwarancyjny na terenie Polski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 – 0 pkt</w:t>
            </w:r>
            <w:r w:rsidRPr="000D4214">
              <w:rPr>
                <w:rFonts w:ascii="Century Gothic" w:hAnsi="Century Gothic" w:cs="Arial"/>
                <w:color w:val="000000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Aparat fabrycznie nowy. Rok produkcji 2017.</w:t>
            </w:r>
            <w:r w:rsidRPr="000D4214">
              <w:rPr>
                <w:rFonts w:ascii="Century Gothic" w:hAnsi="Century Gothic" w:cs="Arial"/>
              </w:rPr>
              <w:br/>
              <w:t xml:space="preserve">Wyklucza się możliwość oferowania aparatów </w:t>
            </w:r>
            <w:proofErr w:type="spellStart"/>
            <w:r w:rsidRPr="000D4214">
              <w:rPr>
                <w:rFonts w:ascii="Century Gothic" w:hAnsi="Century Gothic" w:cs="Arial"/>
              </w:rPr>
              <w:t>podemonstracyjnych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</w:t>
            </w:r>
            <w:proofErr w:type="spellStart"/>
            <w:r w:rsidRPr="000D4214">
              <w:rPr>
                <w:rFonts w:ascii="Century Gothic" w:hAnsi="Century Gothic" w:cs="Arial"/>
              </w:rPr>
              <w:t>rekondycjonowanych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Oprogramowanie oferowanego aparatu z roku 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Aparat wprowadzony na rynek nie wcześniej niż w 2013r.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Certyfikat CE, oraz dokumenty potwierdzające dopuszczenie do obrotu i stosowania zgodnie z Ustawą o wyrobach medycznych dostarczane wraz z aparatem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 xml:space="preserve">System zgodny z Unijną Dyrektywą </w:t>
            </w:r>
            <w:proofErr w:type="spellStart"/>
            <w:r w:rsidRPr="000D4214">
              <w:rPr>
                <w:rFonts w:ascii="Century Gothic" w:hAnsi="Century Gothic" w:cs="Arial"/>
                <w:color w:val="000000"/>
              </w:rPr>
              <w:t>RoHS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Konstrukcja i konfiguracja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Liczba procesowych cyfrowych kanałów przetwarzania min. 3 000 000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3 000 000 – 4 500 000 – 0 pkt</w:t>
            </w:r>
            <w:r w:rsidRPr="000D4214">
              <w:rPr>
                <w:rFonts w:ascii="Century Gothic" w:hAnsi="Century Gothic" w:cs="Arial"/>
              </w:rPr>
              <w:br/>
              <w:t>4 500 001 – 7 000 000 - 5 pkt</w:t>
            </w:r>
            <w:r w:rsidRPr="000D4214">
              <w:rPr>
                <w:rFonts w:ascii="Century Gothic" w:hAnsi="Century Gothic" w:cs="Arial"/>
              </w:rPr>
              <w:br/>
              <w:t>&gt;7 000 000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Monitor kolorowy LCD, o przekątnej min. 19”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19 – 21” – 0 pkt</w:t>
            </w:r>
            <w:r w:rsidRPr="000D4214">
              <w:rPr>
                <w:rFonts w:ascii="Century Gothic" w:hAnsi="Century Gothic" w:cs="Arial"/>
              </w:rPr>
              <w:br/>
              <w:t>&gt;21”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Rozdzielczość ekranu min. 1920 x 1080 </w:t>
            </w:r>
            <w:proofErr w:type="spellStart"/>
            <w:r w:rsidRPr="000D4214">
              <w:rPr>
                <w:rFonts w:ascii="Century Gothic" w:hAnsi="Century Gothic" w:cs="Arial"/>
              </w:rPr>
              <w:t>pixeli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 diagnostyczny wypełniający ekran monitora w min. 60%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60% - 80% - 0 pkt</w:t>
            </w:r>
            <w:r w:rsidRPr="000D4214">
              <w:rPr>
                <w:rFonts w:ascii="Century Gothic" w:hAnsi="Century Gothic" w:cs="Arial"/>
              </w:rPr>
              <w:br/>
              <w:t>&gt;80% - 5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Możliwość zmiany wysokości monitora niezależnie od konsoli aparatu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Monitor umieszczony na ruchomym wysięgniku z regulacją min.: lewo-prawo (+/-&gt;180°), góra-dół (&gt;20cm), pochył przód – tył (+/-&gt;45°)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Min. 4 aktywne, równoważne gniazda do przyłączenia głowic obrazowych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Podświetlenie gniazd do przyłączenia </w:t>
            </w:r>
            <w:r w:rsidRPr="000D4214">
              <w:rPr>
                <w:rFonts w:ascii="Century Gothic" w:hAnsi="Century Gothic" w:cs="Arial"/>
              </w:rPr>
              <w:lastRenderedPageBreak/>
              <w:t>głowic obrazowych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</w:r>
            <w:r w:rsidRPr="000D4214">
              <w:rPr>
                <w:rFonts w:ascii="Century Gothic" w:hAnsi="Century Gothic" w:cs="Arial"/>
              </w:rPr>
              <w:lastRenderedPageBreak/>
              <w:t>TAK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Panel dotykowy o przekątnej min. 10”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10-12” – 0 pkt</w:t>
            </w:r>
            <w:r w:rsidRPr="000D4214">
              <w:rPr>
                <w:rFonts w:ascii="Century Gothic" w:hAnsi="Century Gothic" w:cs="Arial"/>
              </w:rPr>
              <w:br/>
              <w:t>≥12”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Zmiana stron na panelu dotykowym za pomocą przesuwu dotykiem jak tablet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zduplikowania obrazu diagnostycznego w trybach na ekranie dotykowym panelu sterowania celem ułatwienia wykonywania procedur interwencyjnych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Panel sterowania umieszczony na ruchomym wysięgniku zapewniającym regulację położenia we wszystkich kierunkach niezależnie od podstawy oraz obrót wokół osi +/-180°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Klawiatura alfanumeryczna do wpisywania danych pacjentów, komentarzy, opisów obrazu oraz badań dostępna na dotykowym panelu oraz dodatkowo wysuwana z obudowy panelu sterowania lub umieszczona na panelu sterowania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8 regulatorów wzmocnienia głębokościowego (TGC)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4 regulatory wzmocnienia poprzecznego (LGC)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 xml:space="preserve">Możliwość zapamiętania własnych ustawień użytkownika tzw. </w:t>
            </w:r>
            <w:proofErr w:type="spellStart"/>
            <w:r w:rsidRPr="000D4214">
              <w:rPr>
                <w:rFonts w:ascii="Century Gothic" w:hAnsi="Century Gothic" w:cs="Arial"/>
              </w:rPr>
              <w:t>presetów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Liczba obrazów pamięci dynamicznej (</w:t>
            </w:r>
            <w:proofErr w:type="spellStart"/>
            <w:r w:rsidRPr="000D4214">
              <w:rPr>
                <w:rFonts w:ascii="Century Gothic" w:hAnsi="Century Gothic" w:cs="Arial"/>
              </w:rPr>
              <w:t>cineloop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) w trybach 2D i CD min. 1000 klatek oraz zapis </w:t>
            </w:r>
            <w:proofErr w:type="spellStart"/>
            <w:r w:rsidRPr="000D4214">
              <w:rPr>
                <w:rFonts w:ascii="Century Gothic" w:hAnsi="Century Gothic" w:cs="Arial"/>
              </w:rPr>
              <w:t>dopplera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spektralnego 30 sekund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1000 -2000 klatek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&gt;2000 klatek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 xml:space="preserve">Dynamika systemu aparatu min. 270 </w:t>
            </w:r>
            <w:proofErr w:type="spellStart"/>
            <w:r w:rsidRPr="000D4214">
              <w:rPr>
                <w:rFonts w:ascii="Century Gothic" w:hAnsi="Century Gothic" w:cs="Arial"/>
              </w:rPr>
              <w:t>dB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270 – 300 </w:t>
            </w:r>
            <w:proofErr w:type="spellStart"/>
            <w:r w:rsidRPr="000D4214">
              <w:rPr>
                <w:rFonts w:ascii="Century Gothic" w:hAnsi="Century Gothic" w:cs="Arial"/>
              </w:rPr>
              <w:t>dB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&gt;300 </w:t>
            </w:r>
            <w:proofErr w:type="spellStart"/>
            <w:r w:rsidRPr="000D4214">
              <w:rPr>
                <w:rFonts w:ascii="Century Gothic" w:hAnsi="Century Gothic" w:cs="Arial"/>
              </w:rPr>
              <w:t>dB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Wewnętrzny dysk twardy ultrasonografu o min. pojemności 500 GB, formaty zapisu min. DICOM, AVI, JPG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Nagrywarka DVD R/RW wbudowana w aparat, formaty zapisu min. DICOM, AVI, JPG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Porty USB z obsługą 3.0 wbudowane w aparat (do archiwizacji na pamięci typu </w:t>
            </w:r>
            <w:r w:rsidRPr="000D4214">
              <w:rPr>
                <w:rFonts w:ascii="Century Gothic" w:hAnsi="Century Gothic" w:cs="Arial"/>
              </w:rPr>
              <w:lastRenderedPageBreak/>
              <w:t xml:space="preserve">Pen-Drive)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Automatycznie dodawana przeglądarka plików DICOM przy nagrywaniu na nośniki zewnętrzne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ukrycia danych pacjenta przy archiwizacji na zewnętrzne nośniki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Zakres częstotliwości pracy ultrasonografu min. od 1,0 do 22,0 MHz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Zakres częstotliwości fundamentalnych (nie harmonicznych) emitowanych przez głowice obrazowe możliwe do podłączenia z aparatem w chwili jego dostawy min. od 1,0 do 22,0 MHz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proofErr w:type="spellStart"/>
            <w:r w:rsidRPr="000D4214">
              <w:rPr>
                <w:rFonts w:ascii="Century Gothic" w:hAnsi="Century Gothic" w:cs="Arial"/>
              </w:rPr>
              <w:t>Videoprinter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czarno-biały małego formatu do wydruków na papierze o szerokości 110 mm, wbudowany w aparat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Wbudowane w aparat zasilanie bateryjne pozwalające na wprowadzenie systemu w stan uśpienia, a następnie wybudzenie go w czasie poniżej 30s., a także zapewniające możliwość regulacji położenia panelu sterowania również po </w:t>
            </w:r>
            <w:r w:rsidRPr="000D4214">
              <w:rPr>
                <w:rFonts w:ascii="Century Gothic" w:hAnsi="Century Gothic" w:cs="Arial"/>
              </w:rPr>
              <w:lastRenderedPageBreak/>
              <w:t>odłączeniu od stałego źródła zasilania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spacing w:line="288" w:lineRule="auto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>Współpraca aparatu z głowicami: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 xml:space="preserve">1. </w:t>
            </w:r>
            <w:proofErr w:type="spellStart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>phased</w:t>
            </w:r>
            <w:proofErr w:type="spellEnd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>array</w:t>
            </w:r>
            <w:proofErr w:type="spellEnd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2. Liniowe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 xml:space="preserve">3. </w:t>
            </w:r>
            <w:proofErr w:type="spellStart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4. przezprzełykowe wielopłaszczyznowe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5. dopplerowskie typu ołówkowego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6. matrycowe do obrazowania 3D w czasie rzeczywistym dedykowanego do echokardiografii przezklatkowej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7. matrycowe do obrazowania 3D w czasie rzeczywistym dedykowanego do echokardiografii przezprzełykowej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Dla wszystkich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spacing w:line="288" w:lineRule="auto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  <w:lang w:val="pl-PL"/>
              </w:rPr>
              <w:t>Obrazowanie i prezentacja obrazu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Zakres głębokości penetracji min. od 1 do 30 cm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 z odwróceniem impulsu (inwersją fazy)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Częstotliwość odświeżania obrazu 2D min. 1500 </w:t>
            </w:r>
            <w:proofErr w:type="spellStart"/>
            <w:r w:rsidRPr="000D4214">
              <w:rPr>
                <w:rFonts w:ascii="Century Gothic" w:hAnsi="Century Gothic" w:cs="Arial"/>
              </w:rPr>
              <w:t>Hz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1500 – 2500 </w:t>
            </w:r>
            <w:proofErr w:type="spellStart"/>
            <w:r w:rsidRPr="000D4214">
              <w:rPr>
                <w:rFonts w:ascii="Century Gothic" w:hAnsi="Century Gothic" w:cs="Arial"/>
              </w:rPr>
              <w:t>Hz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&gt;2500 </w:t>
            </w:r>
            <w:proofErr w:type="spellStart"/>
            <w:r w:rsidRPr="000D4214">
              <w:rPr>
                <w:rFonts w:ascii="Century Gothic" w:hAnsi="Century Gothic" w:cs="Arial"/>
              </w:rPr>
              <w:t>Hz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Możliwość zmiany orientacji głowicy przy pomocy dedykowanych ikon </w:t>
            </w:r>
            <w:r w:rsidRPr="000D4214">
              <w:rPr>
                <w:rFonts w:ascii="Century Gothic" w:hAnsi="Century Gothic" w:cs="Arial"/>
              </w:rPr>
              <w:lastRenderedPageBreak/>
              <w:t>umieszczonych na panelu dotykowym lub panelu sterowania: lewo/prawo, góra/dół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Doppler pulsacyjny (PWD), </w:t>
            </w:r>
            <w:proofErr w:type="spellStart"/>
            <w:r w:rsidRPr="000D4214">
              <w:rPr>
                <w:rFonts w:ascii="Century Gothic" w:hAnsi="Century Gothic" w:cs="Arial"/>
              </w:rPr>
              <w:t>Color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Doppler (CD), Power Doppler (PD), dostępny na wszystkich obrazowych głowicach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eastAsia="Times New Roman Bold" w:hAnsi="Century Gothic" w:cs="Arial"/>
                <w:bCs/>
              </w:rPr>
              <w:t>Tryb Spektralny Doppler z Falą Ciągłą (CWD) sterowany pod kontrolą obrazu 2D.</w:t>
            </w:r>
            <w:r w:rsidRPr="000D4214">
              <w:rPr>
                <w:rFonts w:ascii="Century Gothic" w:eastAsia="Times New Roman Bold" w:hAnsi="Century Gothic" w:cs="Arial"/>
                <w:bCs/>
              </w:rPr>
              <w:br/>
              <w:t>Maksymalna mierzona prędkość 0° min. 19 m/s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Power Doppler z oznaczeniem kierunku przepływu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Tryb detekcji bardzo wolnych przepływów o niskiej energii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Opisać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Regulacja wielkości bramki Dopplerowskiej (SV) w zakresie min. od 1 mm do 15,0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≤1,0 – 20,0 mm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&gt;1,0 – 20,0mm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Jednoczesne wyświetlanie na ekranie dwóch obrazów w czasie rzeczywistym typu B i B/CD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Tryb duplex (B + PWD)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20451A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lang w:val="en-US"/>
              </w:rPr>
            </w:pPr>
            <w:proofErr w:type="spellStart"/>
            <w:r w:rsidRPr="0020451A">
              <w:rPr>
                <w:rFonts w:ascii="Century Gothic" w:hAnsi="Century Gothic" w:cs="Arial"/>
                <w:lang w:val="en-US"/>
              </w:rPr>
              <w:t>Tryb</w:t>
            </w:r>
            <w:proofErr w:type="spellEnd"/>
            <w:r w:rsidRPr="0020451A">
              <w:rPr>
                <w:rFonts w:ascii="Century Gothic" w:hAnsi="Century Gothic" w:cs="Arial"/>
                <w:lang w:val="en-US"/>
              </w:rPr>
              <w:t xml:space="preserve"> Triplex (B + CD/PD + PWD)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Tryb dual (wyświetlanie dwóch obrazów na jednym ekranie)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Obrazowanie 3D </w:t>
            </w:r>
            <w:proofErr w:type="spellStart"/>
            <w:r w:rsidRPr="000D4214">
              <w:rPr>
                <w:rFonts w:ascii="Century Gothic" w:hAnsi="Century Gothic" w:cs="Arial"/>
              </w:rPr>
              <w:t>free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0D4214">
              <w:rPr>
                <w:rFonts w:ascii="Century Gothic" w:hAnsi="Century Gothic" w:cs="Arial"/>
              </w:rPr>
              <w:t>hand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(tzw. z wolnej ręki) dostępne na oferowanych głowicach: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trójwymiarowe struktur serca w czasie rzeczywistym z głowicy przezklatkowej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Jednoczesna wizualizacja w czasie rzeczywistym dwóch niezależnych płaszczyzn na głowicy trójwymiarowej przezklatkowej, w trybie B i Doppler kolorowy.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Kolorowe odwzorowanie przepływów w czasie rzeczywistym w postaci przestrzennej, ruchomej bryły (3D kolor Doppler), z głowicy przezklatkowej.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Elektroniczna rotacja skanowanej płaszczyzny, bez konieczności obrotu głowicą, na sektorowej pediatrycznej </w:t>
            </w:r>
            <w:r w:rsidRPr="000D4214">
              <w:rPr>
                <w:rFonts w:ascii="Century Gothic" w:hAnsi="Century Gothic" w:cs="Arial"/>
              </w:rPr>
              <w:lastRenderedPageBreak/>
              <w:t>głowicy przezklatkowej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Obrazowanie panoramiczne dostępne na oferowanych głowicach: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Pakiet badań </w:t>
            </w:r>
            <w:proofErr w:type="spellStart"/>
            <w:r w:rsidRPr="000D4214">
              <w:rPr>
                <w:rFonts w:ascii="Century Gothic" w:hAnsi="Century Gothic" w:cs="Arial"/>
              </w:rPr>
              <w:t>ogólnodiagnostycznych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zawierającymi specjalistyczne oprogramowanie do badań: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kardiologicznych;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jamy brzusznej;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naczyniowych;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małych narządów;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układu kostno-szkieletowego;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pediatrycznych/neonatologicznych;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urologicznych;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- </w:t>
            </w:r>
            <w:proofErr w:type="spellStart"/>
            <w:r w:rsidRPr="000D4214">
              <w:rPr>
                <w:rFonts w:ascii="Century Gothic" w:hAnsi="Century Gothic" w:cs="Arial"/>
              </w:rPr>
              <w:t>transkranialnych</w:t>
            </w:r>
            <w:proofErr w:type="spellEnd"/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z zakresu medycyny ratunkowej;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Dla wszystkich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Funkcje użytkowe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16-stopniowe powiększenie obrazu w czasie rzeczywistym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16-stopniowe powiększenie obrazu zamrożonego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Automatyczna optymalizacja obrazu 2D uruchamiana przy pomocy jednego przycisku (m.in. automatyczne dopasowanie wzmocnienia obrazu)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Ciągła automatyczna optymalizacja obrazu 2D uruchomiana przy pomocy jednego przycisku (m.in. automatyczne dopasowanie wzmocnienia obrazu)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Opcja automatycznego ustawiania parametrów bramki dopplerowskiej w naczyniu (wstawianie bramki, korekcja kąta i kierunku)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Praca w trybie wielokierunkowego emitowania i składania wiązki ultradźwiękowej z głowic w pełni elektronicznych, z minimalnie 7 kątami emitowania wiązki tworzącymi obraz 2D na wszystkich głowicach </w:t>
            </w:r>
            <w:proofErr w:type="spellStart"/>
            <w:r w:rsidRPr="000D4214">
              <w:rPr>
                <w:rFonts w:ascii="Century Gothic" w:hAnsi="Century Gothic" w:cs="Arial"/>
              </w:rPr>
              <w:t>convexowych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liniowych. Opcja dostępna dla trybu 2D oraz w trybie obrazowania harmonicznego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7 -8 kątów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&gt;8 kątów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Możliwość przesunięcia linii bazowej na zatrzymanym spektrum Dopplera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Możliwość zaprogramowania w aparacie nowych pomiarów oraz kalkulacji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Funkcja adaptacyjnego przetwarzania obrazu redukującego artefakty i szumy z możliwością regulacją poziomu jego wzmocnienia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Pomiary odległości, min. 8 pomiarów na </w:t>
            </w:r>
            <w:r w:rsidRPr="000D4214">
              <w:rPr>
                <w:rFonts w:ascii="Century Gothic" w:hAnsi="Century Gothic" w:cs="Arial"/>
              </w:rPr>
              <w:lastRenderedPageBreak/>
              <w:t>jednym obrazie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Pomiar obwodu, pola powierzchni, objętości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Oprogramowanie do ilościowej i jakościowej ocena funkcji kurczliwości LV bazująca na 3 projekcjach z wykorzystaniem </w:t>
            </w:r>
            <w:proofErr w:type="spellStart"/>
            <w:r w:rsidRPr="000D4214">
              <w:rPr>
                <w:rFonts w:ascii="Century Gothic" w:hAnsi="Century Gothic" w:cs="Arial"/>
              </w:rPr>
              <w:t>Strain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obrazu 2D i rezultatem w postaci wykresów </w:t>
            </w:r>
            <w:proofErr w:type="spellStart"/>
            <w:r w:rsidRPr="000D4214">
              <w:rPr>
                <w:rFonts w:ascii="Century Gothic" w:hAnsi="Century Gothic" w:cs="Arial"/>
              </w:rPr>
              <w:t>Strain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oraz „byczego oka”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Głowice ultradźwiękowe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Głowica </w:t>
            </w:r>
            <w:proofErr w:type="spellStart"/>
            <w:r w:rsidRPr="000D4214">
              <w:rPr>
                <w:rFonts w:ascii="Century Gothic" w:hAnsi="Century Gothic" w:cs="Arial"/>
              </w:rPr>
              <w:t>microconvex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do badań jamy brzusznej i głowy noworodków oraz badań naczyniowych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5,0 – 9,0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Kąt pola widzenia głowicy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dostępna na dzień składania ofert o </w:t>
            </w:r>
            <w:proofErr w:type="spellStart"/>
            <w:r w:rsidRPr="000D4214">
              <w:rPr>
                <w:rFonts w:ascii="Century Gothic" w:hAnsi="Century Gothic" w:cs="Arial"/>
              </w:rPr>
              <w:t>dezynfekowalną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</w:t>
            </w:r>
            <w:r w:rsidRPr="000D4214">
              <w:rPr>
                <w:rFonts w:ascii="Century Gothic" w:hAnsi="Century Gothic" w:cs="Arial"/>
              </w:rPr>
              <w:lastRenderedPageBreak/>
              <w:t>przystawkę biopsyjną wielorazowego 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Głowica liniowa do badań naczyniowych, małych narządów i mięśniowo-szkieletowych (dla aparatu 1.)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3,0 – 13,0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Szerokość czoła głowicy 40 mm (+/-5%) przy wyłączonym obrazowaniu trapezowym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192 -320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≥320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dostępna na dzień składania ofert o </w:t>
            </w:r>
            <w:proofErr w:type="spellStart"/>
            <w:r w:rsidRPr="000D4214">
              <w:rPr>
                <w:rFonts w:ascii="Century Gothic" w:hAnsi="Century Gothic" w:cs="Arial"/>
              </w:rPr>
              <w:t>dezynfekowalną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przystawkę biopsyjną wielorazowego 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Głowica liniowa śródoperacyjna w kształcie litery „L” lub „T” (dla aparatu 2.)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Szerokopasmowa o zakresie częstotliwości </w:t>
            </w:r>
            <w:r w:rsidRPr="000D4214">
              <w:rPr>
                <w:rFonts w:ascii="Century Gothic" w:hAnsi="Century Gothic" w:cs="Arial"/>
              </w:rPr>
              <w:lastRenderedPageBreak/>
              <w:t>min. 7,0 – 16,0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Szerokość czoła głowicy maks. 25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Głowica liniowa wielorzędowa matrycowa do badań naczyniowych, badań małych narządów, badań pediatrycznych, badań mięśniowo-szkieletowych i badań naczyniowych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4,0 – 22,0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Szerokość czoła głowicy min. 40mm przy wyłączonym obrazowaniu trapezowym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40-50mm – 0 pkt</w:t>
            </w:r>
          </w:p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≥50mm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&lt;1900 – 0 pkt</w:t>
            </w:r>
          </w:p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≥1900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dostępna na dzień składania ofert o </w:t>
            </w:r>
            <w:proofErr w:type="spellStart"/>
            <w:r w:rsidRPr="000D4214">
              <w:rPr>
                <w:rFonts w:ascii="Century Gothic" w:hAnsi="Century Gothic" w:cs="Arial"/>
              </w:rPr>
              <w:t>dezynfekowalną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przystawkę biopsyjną wielorazowego </w:t>
            </w:r>
            <w:r w:rsidRPr="000D4214">
              <w:rPr>
                <w:rFonts w:ascii="Century Gothic" w:hAnsi="Century Gothic" w:cs="Arial"/>
              </w:rPr>
              <w:lastRenderedPageBreak/>
              <w:t>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Dwie sztuki głowic - sektorowych noworodkowych do badań kardiologicznych, jamy brzusznej i przezciemiączkowych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4,0 – 13,0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Kąt pola obrazowania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Liczba elementów akustycznych min. 90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Objętościowa w pełni elektroniczna głowica sektorowa do badań pediatrycznych kardiologicznych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2,0 – 8,0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Kąt pola obrazowania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Liczba elementów akustycznych min. 2500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Inne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Zasilanie 230V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Mobilność aparatu/Waga aparatu maks. 110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Protokół komunikacji DICOM 3.0 do przesyłania obrazów i danych, min. klasy DICOM </w:t>
            </w:r>
            <w:proofErr w:type="spellStart"/>
            <w:r w:rsidRPr="000D4214">
              <w:rPr>
                <w:rFonts w:ascii="Century Gothic" w:hAnsi="Century Gothic" w:cs="Arial"/>
              </w:rPr>
              <w:t>print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0D4214">
              <w:rPr>
                <w:rFonts w:ascii="Century Gothic" w:hAnsi="Century Gothic" w:cs="Arial"/>
              </w:rPr>
              <w:t>store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0D4214">
              <w:rPr>
                <w:rFonts w:ascii="Century Gothic" w:hAnsi="Century Gothic" w:cs="Arial"/>
              </w:rPr>
              <w:t>worklist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, raporty strukturalne naczyniowe (SR) oraz brzuszne, </w:t>
            </w:r>
            <w:proofErr w:type="spellStart"/>
            <w:r w:rsidRPr="000D4214">
              <w:rPr>
                <w:rFonts w:ascii="Century Gothic" w:hAnsi="Century Gothic" w:cs="Arial"/>
              </w:rPr>
              <w:t>storage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0D4214">
              <w:rPr>
                <w:rFonts w:ascii="Century Gothic" w:hAnsi="Century Gothic" w:cs="Arial"/>
              </w:rPr>
              <w:t>commit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(SC)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Raporty dla każdego rodzaju i trybu badania z możliwością dołączenia obrazów i komentarzy do raportów oraz z możliwością umieszczenia własnego logo we wzorze raportu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Suchy (bezwodny) podgrzewacz żelu ultrasonograficznego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</w:rPr>
              <w:t>Możliwości rozbudowy systemu dostępne na dzień składania ofert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funkcję </w:t>
            </w:r>
            <w:proofErr w:type="spellStart"/>
            <w:r w:rsidRPr="000D4214">
              <w:rPr>
                <w:rFonts w:ascii="Century Gothic" w:hAnsi="Century Gothic" w:cs="Arial"/>
              </w:rPr>
              <w:t>elastografii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typu </w:t>
            </w:r>
            <w:proofErr w:type="spellStart"/>
            <w:r w:rsidRPr="000D4214">
              <w:rPr>
                <w:rFonts w:ascii="Century Gothic" w:hAnsi="Century Gothic" w:cs="Arial"/>
              </w:rPr>
              <w:t>ShearWave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do oceny elastyczności wątroby w czasie </w:t>
            </w:r>
            <w:r w:rsidRPr="000D4214">
              <w:rPr>
                <w:rFonts w:ascii="Century Gothic" w:hAnsi="Century Gothic" w:cs="Arial"/>
              </w:rPr>
              <w:lastRenderedPageBreak/>
              <w:t xml:space="preserve">rzeczywistym kodowaną kolorem i dostępną na głowicy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>.</w:t>
            </w:r>
            <w:r w:rsidRPr="000D4214">
              <w:rPr>
                <w:rFonts w:ascii="Century Gothic" w:hAnsi="Century Gothic" w:cs="Arial"/>
              </w:rPr>
              <w:br/>
              <w:t>Wielkość bramki koloru min. 2,5 x 2,5 cm</w:t>
            </w:r>
            <w:r w:rsidRPr="000D4214">
              <w:rPr>
                <w:rFonts w:ascii="Century Gothic" w:hAnsi="Century Gothic" w:cs="Arial"/>
              </w:rPr>
              <w:br/>
              <w:t xml:space="preserve">Możliwość uzyskania w raporcie min. 10 wyników pomiarowych wyrażonych w </w:t>
            </w:r>
            <w:proofErr w:type="spellStart"/>
            <w:r w:rsidRPr="000D4214">
              <w:rPr>
                <w:rFonts w:ascii="Century Gothic" w:hAnsi="Century Gothic" w:cs="Arial"/>
              </w:rPr>
              <w:t>kPa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m/s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2,5 x 2,5 - 5 x 5 cm – 0 pkt</w:t>
            </w:r>
            <w:r w:rsidRPr="000D4214">
              <w:rPr>
                <w:rFonts w:ascii="Century Gothic" w:hAnsi="Century Gothic" w:cs="Arial"/>
              </w:rPr>
              <w:br/>
              <w:t>≥5 x 5 cm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Narzędzie do oceny wiarygodności uzyskiwanego </w:t>
            </w:r>
            <w:proofErr w:type="spellStart"/>
            <w:r w:rsidRPr="000D4214">
              <w:rPr>
                <w:rFonts w:ascii="Century Gothic" w:hAnsi="Century Gothic" w:cs="Arial"/>
              </w:rPr>
              <w:t>elastogramu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SWE za pomocą dedykowanej mapy kolorów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  <w:t>TAK – 20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obrazowanie do </w:t>
            </w:r>
            <w:proofErr w:type="spellStart"/>
            <w:r w:rsidRPr="000D4214">
              <w:rPr>
                <w:rFonts w:ascii="Century Gothic" w:hAnsi="Century Gothic" w:cs="Arial"/>
              </w:rPr>
              <w:t>elastografii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w formacie pojedynczego ekranu oraz na obrazie podzielonym na dwa pola ze wskaźnikiem ucisku oraz określeniem wielkości i lokalizacji zmiany dostępne na min. jednej z oferowanych głowic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oprogramowanie do badań z użyciem dopuszczonego do użycia środka kontrastującego pozwalające na zapis badania w zakresie od 3 do 10 minut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opcję automatycznego pomiaru </w:t>
            </w:r>
            <w:proofErr w:type="spellStart"/>
            <w:r w:rsidRPr="000D4214">
              <w:rPr>
                <w:rFonts w:ascii="Century Gothic" w:hAnsi="Century Gothic" w:cs="Arial"/>
              </w:rPr>
              <w:t>Intima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Media z </w:t>
            </w:r>
            <w:r w:rsidRPr="000D4214">
              <w:rPr>
                <w:rFonts w:ascii="Century Gothic" w:hAnsi="Century Gothic" w:cs="Arial"/>
              </w:rPr>
              <w:lastRenderedPageBreak/>
              <w:t>procentowym wskaźnikiem skuteczności wykonanego pomiaru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opcję analizy uśrednionego obrazu w czasie poprzez ocenę intensywności pikseli wraz z możliwością tworzenia wykresów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Funkcja wgrywania do aparatu i wyświetlania na ekranie obrazów z badań USG, CT, MRI, PET CT, X-Ray celem dokonywania porównań z aktualnie wyświetlanymi obrazami badania USG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opcję łączenia (fuzji) żywych obrazów ultrasonograficznych z dostępnymi z pamięci ultrasonografu danymi obrazowymi z CT, MRI, PET CT oraz funkcja nawigacji narzędzi interwencyjnych (np. igła biopsyjna) wraz ze śledzeniem toru prowadzenia igły i oznaczeniem na obrazie celu interwencji (target)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wykonywania procedury fuzji i biopsji nawigacyjnej u pacjentów z wszczepionym rozrusznikiem serca.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specjalistyczne głowice objętościowe typu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i liniowa.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specjalistyczną, objętościową, w pełni elektroniczną głowicę objętościową typu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o min. 2000 elementów akustycznych i zakresie częstotliwości pracy min. 2.0 – 7.0 MHz (+/-1 MHz).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wysokoczęstotliwościową głowice </w:t>
            </w:r>
            <w:proofErr w:type="spellStart"/>
            <w:r w:rsidRPr="000D4214">
              <w:rPr>
                <w:rFonts w:ascii="Century Gothic" w:hAnsi="Century Gothic" w:cs="Arial"/>
              </w:rPr>
              <w:t>convex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wykonaną w technologii wielorzędowej matrycowej lub innej znacząco poprawiającej rozdzielczość poprawiającej uzyskiwanie obrazów diagnostycznych np.: Single </w:t>
            </w:r>
            <w:proofErr w:type="spellStart"/>
            <w:r w:rsidRPr="000D4214">
              <w:rPr>
                <w:rFonts w:ascii="Century Gothic" w:hAnsi="Century Gothic" w:cs="Arial"/>
              </w:rPr>
              <w:t>Cristal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0D4214">
              <w:rPr>
                <w:rFonts w:ascii="Century Gothic" w:hAnsi="Century Gothic" w:cs="Arial"/>
              </w:rPr>
              <w:t>PureWave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0D4214">
              <w:rPr>
                <w:rFonts w:ascii="Century Gothic" w:hAnsi="Century Gothic" w:cs="Arial"/>
              </w:rPr>
              <w:t>Hanafi</w:t>
            </w:r>
            <w:proofErr w:type="spellEnd"/>
            <w:r w:rsidRPr="000D421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0D4214">
              <w:rPr>
                <w:rFonts w:ascii="Century Gothic" w:hAnsi="Century Gothic" w:cs="Arial"/>
              </w:rPr>
              <w:t>Lens</w:t>
            </w:r>
            <w:proofErr w:type="spellEnd"/>
            <w:r w:rsidRPr="000D4214">
              <w:rPr>
                <w:rFonts w:ascii="Century Gothic" w:hAnsi="Century Gothic" w:cs="Arial"/>
              </w:rPr>
              <w:t>. Zakres częstotliwości min. 2-10 MHz (+-1 MHz), kąt pola obrazowania min. 100 stopni.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pediatryczną głowicę przezprzełykową TEE do badań noworodków o wadze od 3,5 kg, o zakresie częstotliwości min. od 3.0 do 7.0 MHz (+/-1 MHz), ilości elementów </w:t>
            </w:r>
            <w:r w:rsidRPr="000D4214">
              <w:rPr>
                <w:rFonts w:ascii="Century Gothic" w:hAnsi="Century Gothic" w:cs="Arial"/>
              </w:rPr>
              <w:lastRenderedPageBreak/>
              <w:t>akustycznych głowicy min. 48, kącie pola skanowania min. 90° i średnicy gastroskopu poniżej 8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</w:tbl>
    <w:p w:rsidR="003051B2" w:rsidRPr="000D4214" w:rsidRDefault="003051B2" w:rsidP="003051B2"/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b/>
        </w:rPr>
      </w:pPr>
      <w:r w:rsidRPr="000D4214">
        <w:rPr>
          <w:rFonts w:ascii="Century Gothic" w:hAnsi="Century Gothic" w:cstheme="minorHAnsi"/>
          <w:b/>
        </w:rPr>
        <w:t xml:space="preserve">Warunki gwarancji i serwisu </w:t>
      </w:r>
    </w:p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179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560"/>
        <w:gridCol w:w="3118"/>
        <w:gridCol w:w="4114"/>
      </w:tblGrid>
      <w:tr w:rsidR="003051B2" w:rsidRPr="000D4214" w:rsidTr="005335E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Gwarancja na sprzęt (w tym głowice) [liczba miesięcy]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&gt;= 36, 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36 miesiące i więcej – 10 pkt.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Gwarancja min. 10–letniego dostępu do części zamiennych, materiałów eksploatacyjnych i akcesoriów oraz gwarancja aktualizacji oprogramowania do najnowszej, dostępnej wersji na rynku przez min. 36 miesiące </w:t>
            </w:r>
            <w:r w:rsidRPr="000D4214">
              <w:rPr>
                <w:rFonts w:ascii="Century Gothic" w:hAnsi="Century Gothic" w:cstheme="minorHAnsi"/>
                <w:color w:val="FF0000"/>
                <w:sz w:val="20"/>
                <w:szCs w:val="20"/>
              </w:rPr>
              <w:t xml:space="preserve">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color w:val="000000"/>
                <w:sz w:val="20"/>
                <w:szCs w:val="20"/>
              </w:rPr>
              <w:t>Wsparcie serwisowe (możliwość diagnostyki) oferowanego aparatu USG poprzez łącze zdalne.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Na cały czas naprawy każdej z głowic, zastępcza głowica o parametrach nie gorszych niż posiadana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W czasie 3 dni roboczych od podjęcia naprawy głowicy, wykonawca dostarczy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zastępczą głowicę o parametrach nie gorszych niż posiadana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Liczba przeglądów okresowych niezbędnych do wykonywania po upływie gwarancji dla potwierdzenia bezpiecznej eksploatacji aparatu – podać, opisać zakres.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Możliwość zgłoszeń 24 </w:t>
            </w:r>
            <w:proofErr w:type="spellStart"/>
            <w:r w:rsidRPr="000D4214">
              <w:rPr>
                <w:rFonts w:ascii="Century Gothic" w:hAnsi="Century Gothic" w:cstheme="minorHAnsi"/>
                <w:sz w:val="20"/>
                <w:szCs w:val="20"/>
              </w:rPr>
              <w:t>godz</w:t>
            </w:r>
            <w:proofErr w:type="spellEnd"/>
            <w:r w:rsidRPr="000D4214">
              <w:rPr>
                <w:rFonts w:ascii="Century Gothic" w:hAnsi="Century Gothic" w:cstheme="minorHAnsi"/>
                <w:sz w:val="20"/>
                <w:szCs w:val="20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Czas reakcji serwisu (przyjęte zgłoszenie – podjęta naprawa) 2 dni robocze.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Jako "podjęta naprawa" liczy się obecność uprawnionego  pracownika wykonawcy przy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tak, 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Szkolenia dla personelu  medycznego z</w:t>
            </w:r>
            <w:r w:rsidR="00011CBD">
              <w:rPr>
                <w:rFonts w:ascii="Century Gothic" w:hAnsi="Century Gothic" w:cstheme="minorHAnsi"/>
                <w:sz w:val="20"/>
                <w:szCs w:val="20"/>
              </w:rPr>
              <w:t xml:space="preserve"> zakresu obsługi urządzenia (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8 osób) w momencie jego instalacji i odbioru; w razie potrzeby możliwość stałego wsparcia aplikacyjnego w początkowym okresie pracy urządzeń (dodatkowe szkolenie, dodatkowa grupa osób, konsultacje, itp.</w:t>
            </w:r>
            <w:r w:rsidR="00730651">
              <w:rPr>
                <w:rFonts w:ascii="Century Gothic" w:hAnsi="Century Gothic" w:cstheme="minorHAnsi"/>
                <w:sz w:val="20"/>
                <w:szCs w:val="20"/>
              </w:rPr>
              <w:t xml:space="preserve"> (8 osób)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) – potwierdzone certyfikatem.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Akapitzlist"/>
              <w:spacing w:line="288" w:lineRule="auto"/>
              <w:ind w:left="0"/>
              <w:jc w:val="both"/>
              <w:rPr>
                <w:rFonts w:ascii="Century Gothic" w:hAnsi="Century Gothic" w:cstheme="minorHAnsi"/>
                <w:sz w:val="20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Szkolenia dla personelu technicznego (pra</w:t>
            </w:r>
            <w:r w:rsidR="002267F6">
              <w:rPr>
                <w:rFonts w:ascii="Century Gothic" w:hAnsi="Century Gothic" w:cstheme="minorHAnsi"/>
                <w:sz w:val="20"/>
                <w:szCs w:val="20"/>
              </w:rPr>
              <w:t xml:space="preserve">cownicy Działu Aparatury –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</w:t>
            </w:r>
            <w:r w:rsidR="00EC04D6">
              <w:rPr>
                <w:rFonts w:ascii="Century Gothic" w:hAnsi="Century Gothic" w:cstheme="minorHAnsi"/>
                <w:sz w:val="20"/>
                <w:szCs w:val="20"/>
              </w:rPr>
              <w:t xml:space="preserve"> (2 osoby)</w:t>
            </w:r>
            <w:bookmarkStart w:id="0" w:name="_GoBack"/>
            <w:bookmarkEnd w:id="0"/>
            <w:r w:rsidRPr="000D4214">
              <w:rPr>
                <w:rFonts w:ascii="Century Gothic" w:hAnsi="Century Gothic" w:cstheme="minorHAnsi"/>
                <w:sz w:val="20"/>
                <w:szCs w:val="20"/>
              </w:rPr>
              <w:t>) – potwierdzone certyfikatem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Urządzenia są lub będą pozbawione kodów serwisowych i innych zabezpieczeń, które po upływie okresu gwarancji utrudniałyby dostęp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do aparatu i jego serwisowanie, pracownikom technicznym Zamawiającego lub innemu wykonawcy usług serwisowych, niż tzw. autoryzowany serwis producenta (dot. wykonywania przeglądów, napraw z wymianą części, instalacji urządzeń peryferyjnych, akcesoriów, przystawek, itd.) lub: po upływie okresu gwarancji wykonawca zrealizuje szkolenia dla pracowników Zamawiającego przez Wytwórcę w zakresie pełnego serwisowania dostarczonych wyrobów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3051B2" w:rsidRPr="000D4214" w:rsidRDefault="003051B2" w:rsidP="003051B2"/>
    <w:p w:rsidR="003051B2" w:rsidRPr="000D4214" w:rsidRDefault="003051B2" w:rsidP="003051B2"/>
    <w:p w:rsidR="003051B2" w:rsidRPr="000D4214" w:rsidRDefault="003051B2" w:rsidP="003051B2"/>
    <w:p w:rsidR="004853A7" w:rsidRPr="003051B2" w:rsidRDefault="004853A7" w:rsidP="003051B2"/>
    <w:sectPr w:rsidR="004853A7" w:rsidRPr="003051B2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85" w:rsidRDefault="00F41B85" w:rsidP="00FC5DE8">
      <w:pPr>
        <w:spacing w:after="0" w:line="240" w:lineRule="auto"/>
      </w:pPr>
      <w:r>
        <w:separator/>
      </w:r>
    </w:p>
  </w:endnote>
  <w:endnote w:type="continuationSeparator" w:id="0">
    <w:p w:rsidR="00F41B85" w:rsidRDefault="00F41B85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321A48" w:rsidRPr="00396FC2" w:rsidRDefault="00321A48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EC04D6">
          <w:rPr>
            <w:rFonts w:ascii="Garamond" w:hAnsi="Garamond"/>
            <w:noProof/>
          </w:rPr>
          <w:t>23</w:t>
        </w:r>
        <w:r w:rsidRPr="00396FC2">
          <w:rPr>
            <w:rFonts w:ascii="Garamond" w:hAnsi="Garamond"/>
          </w:rPr>
          <w:fldChar w:fldCharType="end"/>
        </w:r>
      </w:p>
      <w:p w:rsidR="00321A48" w:rsidRDefault="00321A48" w:rsidP="00321A48">
        <w:pPr>
          <w:pStyle w:val="Stopka"/>
          <w:rPr>
            <w:rFonts w:ascii="Garamond" w:hAnsi="Garamond"/>
            <w:i/>
            <w:iCs/>
          </w:rPr>
        </w:pPr>
      </w:p>
      <w:p w:rsidR="00321A48" w:rsidRPr="0097462E" w:rsidRDefault="00321A48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4853A7" w:rsidRDefault="00F41B85">
        <w:pPr>
          <w:pStyle w:val="Stopka"/>
          <w:jc w:val="right"/>
        </w:pPr>
      </w:p>
    </w:sdtContent>
  </w:sdt>
  <w:p w:rsidR="004853A7" w:rsidRDefault="004853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85" w:rsidRDefault="00F41B85" w:rsidP="00FC5DE8">
      <w:pPr>
        <w:spacing w:after="0" w:line="240" w:lineRule="auto"/>
      </w:pPr>
      <w:r>
        <w:separator/>
      </w:r>
    </w:p>
  </w:footnote>
  <w:footnote w:type="continuationSeparator" w:id="0">
    <w:p w:rsidR="00F41B85" w:rsidRDefault="00F41B85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48" w:rsidRDefault="003051B2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DFZP-BM-271-180</w:t>
    </w:r>
    <w:r w:rsidR="00321A48">
      <w:rPr>
        <w:rFonts w:ascii="Garamond" w:hAnsi="Garamond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321A48" w:rsidRPr="00321A48" w:rsidRDefault="00321A48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321A48" w:rsidRDefault="00321A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6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D5"/>
    <w:rsid w:val="00011CBD"/>
    <w:rsid w:val="00033923"/>
    <w:rsid w:val="001200D7"/>
    <w:rsid w:val="0020451A"/>
    <w:rsid w:val="00214B82"/>
    <w:rsid w:val="002267F6"/>
    <w:rsid w:val="0025608B"/>
    <w:rsid w:val="00263C3D"/>
    <w:rsid w:val="00265A6C"/>
    <w:rsid w:val="002A4097"/>
    <w:rsid w:val="002F4A85"/>
    <w:rsid w:val="003051B2"/>
    <w:rsid w:val="00321A48"/>
    <w:rsid w:val="00386BDE"/>
    <w:rsid w:val="004853A7"/>
    <w:rsid w:val="00486F02"/>
    <w:rsid w:val="004B43E2"/>
    <w:rsid w:val="004C53BF"/>
    <w:rsid w:val="00536EE3"/>
    <w:rsid w:val="005D24AB"/>
    <w:rsid w:val="006C5870"/>
    <w:rsid w:val="00730651"/>
    <w:rsid w:val="007E046A"/>
    <w:rsid w:val="008104FF"/>
    <w:rsid w:val="00897EFA"/>
    <w:rsid w:val="008B7CF1"/>
    <w:rsid w:val="00A96134"/>
    <w:rsid w:val="00AE241A"/>
    <w:rsid w:val="00B22BCD"/>
    <w:rsid w:val="00BD72C1"/>
    <w:rsid w:val="00C43EB8"/>
    <w:rsid w:val="00C648BE"/>
    <w:rsid w:val="00CF3A37"/>
    <w:rsid w:val="00D22676"/>
    <w:rsid w:val="00D2680D"/>
    <w:rsid w:val="00D42625"/>
    <w:rsid w:val="00D973D5"/>
    <w:rsid w:val="00E60DFD"/>
    <w:rsid w:val="00EC04D6"/>
    <w:rsid w:val="00F41B85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507F-CDA4-4ADD-A5EE-01B9F12D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22CA-08D6-4F23-B015-F6B34262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3084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33</cp:revision>
  <cp:lastPrinted>2017-10-02T08:32:00Z</cp:lastPrinted>
  <dcterms:created xsi:type="dcterms:W3CDTF">2017-01-09T08:38:00Z</dcterms:created>
  <dcterms:modified xsi:type="dcterms:W3CDTF">2017-10-20T08:01:00Z</dcterms:modified>
</cp:coreProperties>
</file>