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06" w:rsidRPr="007476A4" w:rsidRDefault="00431206" w:rsidP="00431206">
      <w:pPr>
        <w:pStyle w:val="Tytu"/>
        <w:spacing w:line="288" w:lineRule="auto"/>
        <w:rPr>
          <w:rFonts w:ascii="Century Gothic" w:hAnsi="Century Gothic"/>
          <w:sz w:val="18"/>
          <w:szCs w:val="18"/>
        </w:rPr>
      </w:pPr>
      <w:r w:rsidRPr="007476A4">
        <w:rPr>
          <w:rFonts w:ascii="Century Gothic" w:hAnsi="Century Gothic"/>
          <w:sz w:val="18"/>
          <w:szCs w:val="18"/>
        </w:rPr>
        <w:t>OPIS PRZEDMIOTU ZAMÓWIENIA</w:t>
      </w:r>
    </w:p>
    <w:p w:rsidR="00431206" w:rsidRPr="007476A4" w:rsidRDefault="00596231" w:rsidP="00596231">
      <w:pPr>
        <w:tabs>
          <w:tab w:val="center" w:pos="7002"/>
          <w:tab w:val="left" w:pos="11430"/>
        </w:tabs>
        <w:spacing w:before="100" w:beforeAutospacing="1" w:after="100" w:afterAutospacing="1" w:line="288" w:lineRule="auto"/>
        <w:rPr>
          <w:rFonts w:ascii="Century Gothic" w:hAnsi="Century Gothic" w:cs="Times New Roman"/>
          <w:b/>
          <w:sz w:val="18"/>
          <w:szCs w:val="18"/>
        </w:rPr>
      </w:pPr>
      <w:r w:rsidRPr="007476A4">
        <w:rPr>
          <w:rFonts w:ascii="Century Gothic" w:hAnsi="Century Gothic" w:cs="Times New Roman"/>
          <w:b/>
          <w:sz w:val="18"/>
          <w:szCs w:val="18"/>
        </w:rPr>
        <w:tab/>
      </w:r>
      <w:r w:rsidR="006004C3" w:rsidRPr="007476A4">
        <w:rPr>
          <w:rFonts w:ascii="Century Gothic" w:hAnsi="Century Gothic" w:cs="Times New Roman"/>
          <w:b/>
          <w:sz w:val="18"/>
          <w:szCs w:val="18"/>
        </w:rPr>
        <w:t>Komora gorąca</w:t>
      </w:r>
      <w:r w:rsidR="00243375" w:rsidRPr="007476A4">
        <w:rPr>
          <w:rFonts w:ascii="Century Gothic" w:hAnsi="Century Gothic" w:cs="Times New Roman"/>
          <w:b/>
          <w:sz w:val="18"/>
          <w:szCs w:val="18"/>
        </w:rPr>
        <w:t xml:space="preserve"> – 1</w:t>
      </w:r>
      <w:r w:rsidRPr="007476A4">
        <w:rPr>
          <w:rFonts w:ascii="Century Gothic" w:hAnsi="Century Gothic" w:cs="Times New Roman"/>
          <w:b/>
          <w:sz w:val="18"/>
          <w:szCs w:val="18"/>
        </w:rPr>
        <w:t xml:space="preserve"> szt.</w:t>
      </w:r>
      <w:r w:rsidRPr="007476A4">
        <w:rPr>
          <w:rFonts w:ascii="Century Gothic" w:hAnsi="Century Gothic" w:cs="Times New Roman"/>
          <w:b/>
          <w:sz w:val="18"/>
          <w:szCs w:val="18"/>
        </w:rPr>
        <w:tab/>
      </w:r>
    </w:p>
    <w:p w:rsidR="00431206" w:rsidRPr="007476A4" w:rsidRDefault="00431206" w:rsidP="008A7106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Uwagi i objaśnienia:</w:t>
      </w:r>
      <w:r w:rsidR="008A7106" w:rsidRPr="007476A4">
        <w:rPr>
          <w:rFonts w:ascii="Century Gothic" w:hAnsi="Century Gothic" w:cs="Times New Roman"/>
          <w:sz w:val="18"/>
          <w:szCs w:val="18"/>
        </w:rPr>
        <w:tab/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7476A4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431206" w:rsidRPr="007476A4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Rok produkcji (min. 2018): …..............</w:t>
      </w: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7476A4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A60903" w:rsidRDefault="00A60903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pPr w:leftFromText="141" w:rightFromText="141" w:vertAnchor="text" w:tblpX="67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4"/>
        <w:gridCol w:w="6800"/>
      </w:tblGrid>
      <w:tr w:rsidR="00A60903" w:rsidRPr="00665E29" w:rsidTr="00A60903">
        <w:trPr>
          <w:trHeight w:val="70"/>
        </w:trPr>
        <w:tc>
          <w:tcPr>
            <w:tcW w:w="7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 xml:space="preserve">Przedmiot: </w:t>
            </w:r>
            <w:r>
              <w:t xml:space="preserve"> </w:t>
            </w:r>
            <w:r w:rsidRPr="006A2014">
              <w:rPr>
                <w:rFonts w:ascii="Century Gothic" w:hAnsi="Century Gothic"/>
                <w:b/>
                <w:sz w:val="20"/>
                <w:szCs w:val="20"/>
              </w:rPr>
              <w:t>Komora gorąca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1 szt.</w:t>
            </w:r>
          </w:p>
        </w:tc>
        <w:tc>
          <w:tcPr>
            <w:tcW w:w="6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Cena brutto (w zł)</w:t>
            </w:r>
          </w:p>
        </w:tc>
      </w:tr>
      <w:tr w:rsidR="00A60903" w:rsidRPr="00665E29" w:rsidTr="00A60903">
        <w:trPr>
          <w:trHeight w:val="70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A: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sprzętu wraz z dostawą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60903" w:rsidRPr="00665E29" w:rsidTr="00A60903">
        <w:trPr>
          <w:trHeight w:val="70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</w:t>
            </w: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instalacji i uruchomienia sprzętu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60903" w:rsidRPr="00665E29" w:rsidTr="00A60903">
        <w:trPr>
          <w:trHeight w:val="70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</w:t>
            </w: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szkoleń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personelu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60903" w:rsidRPr="00665E29" w:rsidTr="00A60903">
        <w:trPr>
          <w:trHeight w:val="715"/>
        </w:trPr>
        <w:tc>
          <w:tcPr>
            <w:tcW w:w="7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0903" w:rsidRPr="00665E29" w:rsidRDefault="00A60903" w:rsidP="00A60903">
            <w:pPr>
              <w:spacing w:line="288" w:lineRule="auto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A+B+C</w:t>
            </w:r>
            <w:r w:rsidRPr="00665E29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665E29">
              <w:rPr>
                <w:rFonts w:ascii="Century Gothic" w:hAnsi="Century Gothic"/>
                <w:bCs/>
                <w:sz w:val="20"/>
                <w:szCs w:val="20"/>
              </w:rPr>
              <w:t xml:space="preserve"> Cena brutto oferty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903" w:rsidRPr="00665E29" w:rsidRDefault="00A60903" w:rsidP="00A60903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A60903" w:rsidRPr="007476A4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Pr="007476A4" w:rsidRDefault="00A60903" w:rsidP="00A6090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A60903" w:rsidRPr="007476A4" w:rsidRDefault="00A60903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31206" w:rsidRPr="007476A4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36CB8" w:rsidRPr="007476A4" w:rsidRDefault="00536CB8">
      <w:pPr>
        <w:rPr>
          <w:rFonts w:ascii="Century Gothic" w:hAnsi="Century Gothic" w:cs="Times New Roman"/>
          <w:b/>
          <w:bCs/>
          <w:sz w:val="18"/>
          <w:szCs w:val="18"/>
        </w:rPr>
      </w:pPr>
      <w:r w:rsidRPr="007476A4"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984712" w:rsidRPr="007476A4" w:rsidRDefault="00984712" w:rsidP="00984712">
      <w:pPr>
        <w:spacing w:line="36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7476A4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3685"/>
        <w:gridCol w:w="2694"/>
      </w:tblGrid>
      <w:tr w:rsidR="008028E8" w:rsidRPr="007476A4" w:rsidTr="008028E8">
        <w:tc>
          <w:tcPr>
            <w:tcW w:w="709" w:type="dxa"/>
            <w:vAlign w:val="center"/>
          </w:tcPr>
          <w:p w:rsidR="008028E8" w:rsidRPr="007476A4" w:rsidRDefault="008028E8" w:rsidP="00DF3136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28E8" w:rsidRPr="007476A4" w:rsidRDefault="008028E8" w:rsidP="00106FA1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8E8" w:rsidRPr="007476A4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28E8" w:rsidRPr="007476A4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8E8" w:rsidRPr="007476A4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7476A4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 w:rsidP="00B3317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Ekranowany izolator z przepływem laminarnym do manipulacji i kalibracji radiofarmaceutyków zgodnie z wytycznymi cGMP.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G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warancja nie przekroczenia w komorze głównej temperatury 25 </w:t>
            </w:r>
            <w:r w:rsidR="00B3317A" w:rsidRPr="00B3317A">
              <w:rPr>
                <w:rFonts w:ascii="Arial" w:hAnsi="Arial" w:cs="Arial"/>
                <w:color w:val="000000"/>
                <w:sz w:val="18"/>
                <w:szCs w:val="18"/>
              </w:rPr>
              <w:t>ᵒ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 przy temperaturze otoczenia 25 </w:t>
            </w:r>
            <w:r w:rsidR="00B3317A" w:rsidRPr="00B3317A">
              <w:rPr>
                <w:rFonts w:ascii="Arial" w:hAnsi="Arial" w:cs="Arial"/>
                <w:color w:val="000000"/>
                <w:sz w:val="18"/>
                <w:szCs w:val="18"/>
              </w:rPr>
              <w:t>ᵒ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 oraz stosowania suchego bloku (typowe temp. inkubacji: 90-100 </w:t>
            </w:r>
            <w:r w:rsidR="00B3317A" w:rsidRPr="00B3317A">
              <w:rPr>
                <w:rFonts w:ascii="Arial" w:hAnsi="Arial" w:cs="Arial"/>
                <w:color w:val="000000"/>
                <w:sz w:val="18"/>
                <w:szCs w:val="18"/>
              </w:rPr>
              <w:t>ᵒ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3317A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pracy ze związkami opartymi na Tc99m, jak i generycznymi emiterami PET i SPECT.</w:t>
            </w:r>
            <w:r w:rsidR="00DF3136">
              <w:t xml:space="preserve"> 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Zapewniona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dodatkowa przestrzeń w komorze (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30x50x50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cm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 i media (zasilanie,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powietrze) na moduł do syntezy oraz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dodatkowa przestrzeń w komorze (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30x30x15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cm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 i media (zasilanie) na suchy blok grzejny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966B2D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966B2D" w:rsidRPr="00966B2D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Główna komora wyposażona w plastikowe wsporniki do obsługi izotopów emitujących promieniowanie beta.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Struktura nośna ze stali węglowej powleczona epoksydem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Przednie pokrywy ze stali nierdzewnej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304 AISI, łatwe do odkażania, oddzielają obszar laboratorium (przód) od części technicznej (z tyłu)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 w:rsidP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Komory robocze ze stali nierdzewnej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AISI 316L z wykończeniem wewnętrznym typu Mirror-Bright lub równoważnym, spawy ciągłe i szeroko zaokrąglone narożniki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7B469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Szczelność komór zapewniona przez nadmuchiwany system uszczelek, umieszczony na obwodzie otworów lub inny system zapewniający szczelność komór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E25CCA" w:rsidP="00DF3136">
            <w:pPr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nadmuchiwany system uszczelek – 3 pkt.;</w:t>
            </w:r>
          </w:p>
          <w:p w:rsidR="00E25CCA" w:rsidRPr="007476A4" w:rsidRDefault="00E25CCA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inny system – 1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Ekranowane przednie drzwi na zawiasach ze szkłem i ekranowane drzwi dostępu do rąk.</w:t>
            </w:r>
            <w:r w:rsidR="00B3317A">
              <w:t xml:space="preserve">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kienko podglądu: wielkość umożliwiająca sprawną pracę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komorze roboczej, szkło o ekwiwalencie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Pb min. 50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3317A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Elementy ekranujące wykonane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sztab: Pb 98% + Sb 2%  (+/-5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Osłonność min.:  50 mm Pb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filtracji wlotu powietrza wykonany z absolutnego fil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tra HEPA z wydajnością min. 99,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95%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c>
          <w:tcPr>
            <w:tcW w:w="709" w:type="dxa"/>
            <w:tcBorders>
              <w:bottom w:val="single" w:sz="4" w:space="0" w:color="auto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System filtracji do generowania przepływu laminarnego w komorze klasy A, wykonany z absolutnego wkładu filtracyjnego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ULPA U15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M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ożliwość pracy w trakcie laminarnego przepływu powietrza  w komorze roboczej z osłoną i bez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robocza do dozowania z jakością powietrza zgodna z klasą A "w spoczynku" (EEC-cGMP) i wyposażona w laminarny przepływ na całym obszarze i rękawice manipulacyjne.</w:t>
            </w:r>
            <w:r w:rsidR="00B3317A">
              <w:t xml:space="preserve">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inimum 2 rozmiary rękawic po 3 komplety każdy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3317A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filtracji powietrza wylotowego wykonany z wkładem filtracyjnym z węglem aktywnym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przejścia materiału (śluza powietrzna) o jakości powietrza zgodnej z klasą B "w spoczynku" (EEC-cGMP) i wyposażona w automatyczny system podnoszenia do załadunku w komorze roboczej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echniczne przewody zasilania gazem z zaworami odcinającymi, które mogą być sterowane z zewnątrz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E25CCA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TAK/NIE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CCA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 – 1 pkt.,</w:t>
            </w:r>
          </w:p>
          <w:p w:rsidR="006004C3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rzewód zasilania technicznego z zaworami odcinającymi, które mogą być sterowane z zewnątrz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E25CCA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TAK/NIE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CCA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 – 1 pkt.,</w:t>
            </w:r>
          </w:p>
          <w:p w:rsidR="006004C3" w:rsidRPr="007476A4" w:rsidRDefault="006004C3" w:rsidP="00E25CC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Wlot kabla za pomocą wielowarstwowego systemu uszczelnienia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Chronione gniazda zasilania sterowane z panelu operatora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Min. 5,5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-calowy panel operatora z ekranem dotykowym do sprawdzania i śledzenia najważniejszych parametrów maszyny zarówno w trybie "spoczynku", jak i "pracy"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P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omiar mocy dawki komory roboczej w 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jednostkach min. 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Sv/h</w:t>
            </w:r>
            <w:r w:rsid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M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onitoring 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="00B3317A" w:rsidRPr="00B3317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temperatury, wilgotności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7476A4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 w:rsidP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kalibratora dawki wyposażona w system do poruszania fiolką w studzience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na odpady o jakości powietrza zgodnej z klasą B "W spoczynku" (EEC-cGMP)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Komora generatora o jakości powietrza zgodnej z klasą B "W spoczynku" (EEC-cGMP), która może pomieścić do 2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>generatorów Mo99 / Tc99m lub Ge68 / Ga68, wyposażona w automatyczny system selekcji i ładowania oraz wyposażona w drzwi przednie do wyjmowania/wkładania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Połączenia dla testu DOP (test uszczelnienia filtra) filtrów absolutnych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do automatycznych testów szczelności w komorze dozującej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Pokrywa ze stali nierdzewnej od dachu komory do sufitu laboratorium. Wszystkie pokrywy wykonane są w całości ze stali nierdzewnej </w:t>
            </w:r>
            <w:r w:rsidR="00E25CC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AISI 304 z wykończeniem Scotch Brite lub równoważnym.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6004C3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DF3136" w:rsidP="00E25CC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KALIBRATOR DAWEK</w:t>
            </w:r>
            <w:r w:rsidR="006004C3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after="6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Umożliwia pomiar dokładnych pomiarów aktywności próbek radionuklidów.</w:t>
            </w:r>
            <w:r w:rsidR="00DF3136">
              <w:t xml:space="preserve"> </w:t>
            </w:r>
            <w:r w:rsid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Zapewniona w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spółpraca z dyspenserem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04C3" w:rsidRPr="007476A4" w:rsidRDefault="006004C3" w:rsidP="00DF3136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Urządzenie składa się z: </w:t>
            </w:r>
          </w:p>
          <w:p w:rsidR="0084562E" w:rsidRPr="007476A4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m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in. 8-calowy monitor z ekranem dotykowym (min. 1024 x 768 pikseli)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84562E" w:rsidRPr="007476A4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komory jonizacyjnej,</w:t>
            </w:r>
          </w:p>
          <w:p w:rsidR="0084562E" w:rsidRPr="007476A4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drukarki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etykiet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DF3136" w:rsidRDefault="00DF3136" w:rsidP="00E76415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kabla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 połączenia między komorą jonizacyjną a monitorem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DF3136" w:rsidRPr="00DF3136" w:rsidRDefault="00DF3136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t xml:space="preserve">-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akcesorium do kontroli jakości eluatu 99mTc w kierunku zanieczyszczenia 99Mo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DF3136" w:rsidRPr="00DF3136" w:rsidRDefault="00E76415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wkładką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zabezp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ieczającą</w:t>
            </w:r>
            <w:r w:rsidR="00DF3136"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przed kontaminacją komorę jonizacyjną</w:t>
            </w:r>
          </w:p>
          <w:p w:rsidR="00DF3136" w:rsidRPr="00DF3136" w:rsidRDefault="00DF3136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dodatkowy uchwyt dedykowany do strzykawek 1 ml </w:t>
            </w:r>
          </w:p>
          <w:p w:rsidR="0084562E" w:rsidRPr="007476A4" w:rsidRDefault="00DF3136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 xml:space="preserve">- skalibrowanie źródło Cs-137 do kontroli jakości miernika (dostarczenie 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źródła przez Wykonawcę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momencie otrzymania stosownych zezwoleń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przez Zamawiającego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F3136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F3136" w:rsidRPr="007476A4" w:rsidRDefault="00DF3136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136" w:rsidRPr="007476A4" w:rsidRDefault="00DF3136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wzorcowane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przez akredytowane laboratorium minimum dla: I-131, Y-90, Lu-177, Tc-99m, I-123, Ga-68, F-18, Cs-137, Re-186, Co-57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36" w:rsidRPr="007476A4" w:rsidRDefault="00DF3136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F3136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F3136" w:rsidRPr="007476A4" w:rsidRDefault="00DF3136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F3136" w:rsidRPr="007476A4" w:rsidRDefault="00DF3136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wzorcowane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przez akredytowane laboratorium minimum dla: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DF313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Ra-223, Er-169,  ln-111, C-11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36" w:rsidRPr="007476A4" w:rsidRDefault="00DF3136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136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6 pkt.;</w:t>
            </w:r>
          </w:p>
          <w:p w:rsidR="00DF3136" w:rsidRPr="007476A4" w:rsidRDefault="00DF3136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004C3" w:rsidRPr="007476A4" w:rsidRDefault="006004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JONIZACYJNA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</w:t>
            </w:r>
          </w:p>
          <w:p w:rsidR="0084562E" w:rsidRPr="007476A4" w:rsidRDefault="0084562E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Saturacja: &gt;200 GBq (Tc-99m), &gt;70 GBq (F-18). &gt;6 Ci (Tc-99m), &gt;2 Ci (F-18)</w:t>
            </w:r>
          </w:p>
          <w:p w:rsidR="0084562E" w:rsidRPr="007476A4" w:rsidRDefault="0084562E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Zakres energii min.: 25 keV - 3 MeV</w:t>
            </w:r>
          </w:p>
          <w:p w:rsidR="006004C3" w:rsidRPr="007476A4" w:rsidRDefault="00DF3136" w:rsidP="00E76415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Osłonięcie min.:  40 mm Pb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DF3136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C3" w:rsidRPr="007476A4" w:rsidRDefault="006004C3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C3" w:rsidRPr="007476A4" w:rsidRDefault="006004C3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MONITORING DAWEK PROMIENIOWANIA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EF1AC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Urządzenie do wykrywania radioaktywności w </w:t>
            </w:r>
            <w:r w:rsidR="00EF1ACA">
              <w:rPr>
                <w:rFonts w:ascii="Century Gothic" w:hAnsi="Century Gothic" w:cs="Times New Roman"/>
                <w:sz w:val="18"/>
                <w:szCs w:val="18"/>
              </w:rPr>
              <w:t xml:space="preserve">komorach 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gorących. </w:t>
            </w:r>
            <w:r w:rsidR="00EF1ACA">
              <w:rPr>
                <w:rFonts w:ascii="Century Gothic" w:hAnsi="Century Gothic" w:cs="Times New Roman"/>
                <w:sz w:val="18"/>
                <w:szCs w:val="18"/>
              </w:rPr>
              <w:t>Z funkcją blokowania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drzwi, gdy dawka wzrasta powyżej ustawionego progu alarmowego.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W przypadku wyzwolenia alarmu, wlotowe i wylotowe zawory powietrza w komorze są zamknięte.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Sonda detekcyjna jest instalowana wewnątrz komory podczas gdy jednostka licząca jest zamontowana na panelu.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 przeznaczony  do bezpiecznego i dokładnego frakcjonowania radiofarmaceutyków w strzykawkach.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192883" w:rsidRDefault="0084562E" w:rsidP="00192883">
            <w:pPr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</w:pPr>
            <w:r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Zaprojektowany zgodnie z 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wytycznymi Unii Europejskiej dotyczące Dobrej Praktyki Wytwarzania </w:t>
            </w:r>
            <w:r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Eudralex - w Partii </w:t>
            </w:r>
            <w:r w:rsidR="00E97C9A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min. </w:t>
            </w:r>
            <w:r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>4 (GMP)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 xml:space="preserve"> [Eudralex The Rules Governing Medicinal Products In the European Union Volume 4 EU guidelines for Good Manufacturing Practice for Medicinal Products for Human and Veterinary Use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>]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59623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 może mierzyć radioaktywność dozowanej dawki poprzez zintegrowaną komorę jonizacyjną.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59623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Może otrzymywać radiofarmaceutyki z fiolki wielodawkowej.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spacing w:after="6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TAK </w:t>
            </w:r>
          </w:p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97C9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Ekranowanie dla zestawów jednorazowego użytku i dla docelowej strzykawki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97C9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Specjalistyczny system z osłoną wolframową do dozowania do strzykawek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Obliczanie stężenia za pomocą próbkowania wolumetrycznego i pomiaru aktywności za pomocą zintegrowanego kalibratora dawki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Ekranowanie w punktach krytycznych (przepływ płynu radiacyjnego) 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25 mm Pb.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966B2D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966B2D" w:rsidRPr="00966B2D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19288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Zarządzanie recepturami, automatyzacja i kontrola przepływu pracy za pomocą interfejsu operatora opracowanego zgodnie z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 xml:space="preserve">regulacją GAMP i zgodnego z 21 CFR 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część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11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 w zakresie współpracy</w:t>
            </w:r>
            <w:r w:rsidR="00192883" w:rsidRP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oprogramowaniem umożliwiającym pobranie, wyświetlenie i analizę danych oraz ich zabezpieczenie przed zewnętrzną modyfikacją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ZINTEGROWANY LICZNIK CZĄSTEK DLA GŁÓWNEJ KOMORY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Jednocześnie kontrola, wielkość cząstek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0,5μm i 5,0μm przy prędkości przepływu 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1,0 CFM (28,3 LPM). Dokładność +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/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-3%. Wyjście Modbus / RS485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równoważne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interfejsy komunikacyjne </w:t>
            </w:r>
            <w:r w:rsidR="0019288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zakresie izolowanych wejść i wyjść cyfrowych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E97C9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 zg</w:t>
            </w:r>
            <w:r w:rsidR="00E97C9A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odny z ISO 21501-4. i JIS B9921 lub równoważnymi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605F1A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 jest zgodny z wymaganiami GMP i jest odpowiedni do monitoro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wania środowisk klasyfikowanych </w:t>
            </w:r>
            <w:r w:rsidR="00605F1A" w:rsidRP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(GMP - wytyczne</w:t>
            </w:r>
            <w:r w:rsidR="00605F1A" w:rsidRP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Unii Europejskiej dotyczące Dobrej Praktyki Wytwarzania - Eudralex The Rules Governing Medicinal Products In the European Union guidelines for Good Manufacturing Practice for Medicinal Produc</w:t>
            </w:r>
            <w:r w:rsid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ts for Human and Veterinary Use)</w:t>
            </w:r>
            <w:r w:rsidR="00605F1A" w:rsidRPr="00605F1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Konstrukcja ze stali nierdzewnej.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LAMPA UV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Wewnętrzna lampa UV z automatycznym wyłączaniem. Sterowanie i czasomierz światła można ustawić z panelu operatora, aby zaprogramować jego wyłączenie po upływie ustalonego czasu.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DF313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 w:rsidP="00DF313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OSŁONOWY POJEMNIK Z UCHWYTEM DO TRANSPORTU STRZYKAWEK Z RADIOFARMACEUTYKIEM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RAZEM 10 SZT.</w:t>
            </w:r>
            <w:r w:rsid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 TYM: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E76415" w:rsidRDefault="00EB7E02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Osłonowe</w:t>
            </w:r>
            <w:r w:rsidRP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pojemnik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</w:t>
            </w:r>
            <w:r w:rsidRP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uchwytem do transportu strzykawek</w:t>
            </w:r>
            <w:r w:rsidRP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radiofarmaceutykami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76415"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współpracujące z dyspenserem i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automatyczną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pompą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strzykawkową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-</w:t>
            </w:r>
            <w:r w:rsidR="00E76415"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5 szt.</w:t>
            </w:r>
          </w:p>
          <w:p w:rsidR="00E76415" w:rsidRPr="007476A4" w:rsidRDefault="00EB7E02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Osłonowe</w:t>
            </w:r>
            <w:r w:rsidRP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pojemnik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</w:t>
            </w:r>
            <w:r w:rsidRP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uchwytem do transportu strzykawek</w:t>
            </w:r>
            <w:r w:rsidRP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radiofarmaceutykami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="00E76415"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spółpracujące z </w:t>
            </w:r>
            <w:r w:rsid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dyspenserem do podań manualnych -</w:t>
            </w:r>
            <w:r w:rsidR="00E76415"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5 szt.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Wykonane z ołowiu i pokryte</w:t>
            </w:r>
            <w:r w:rsidR="0084562E"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plastikowymi materiałami kompozytowymi wzmacnianymi włóknami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Wymiary zewnętrzne 65 x 250 mm (średnica x wysokość) (+/-10%)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76415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4562E" w:rsidRPr="007476A4" w:rsidTr="00DF3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4562E" w:rsidRPr="007476A4" w:rsidRDefault="0084562E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562E" w:rsidRPr="007476A4" w:rsidRDefault="0084562E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Masa max. 7 kg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76415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2E" w:rsidRPr="007476A4" w:rsidRDefault="0084562E" w:rsidP="00DF313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62E" w:rsidRPr="007476A4" w:rsidRDefault="0084562E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1362A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7476A4" w:rsidRDefault="00E76415" w:rsidP="00EB7E02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OSŁONOWY POJEMNIK Z UCHWYTEM DO TRANSPORT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 STRZYKAWKIU Z RADIOFARMACEUTYKAMI PET –</w:t>
            </w:r>
            <w:r w:rsidR="00EB7E0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 SZT.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7476A4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Osłonowy pojemnik z uchwytem do transportu strzykawki z radiofarmaceutykami PET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</w:t>
            </w:r>
            <w:r w:rsidRPr="007476A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ykonany z ołowiu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– 3 szt.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1362A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7476A4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AUTOMATYCZNA POMPA STRZYKAWKOWA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E76415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E76415" w:rsidRPr="007476A4" w:rsidRDefault="00E76415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415" w:rsidRPr="00E76415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Automatyczna pompa strzykawkowa: </w:t>
            </w:r>
          </w:p>
          <w:p w:rsidR="00E76415" w:rsidRPr="00E76415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współpracująca ze strzykawkami i osłonami stosowanymi w dyspenserze</w:t>
            </w:r>
          </w:p>
          <w:p w:rsidR="00E76415" w:rsidRPr="007476A4" w:rsidRDefault="00E76415" w:rsidP="00E76415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zapewniony </w:t>
            </w:r>
            <w:r w:rsidRPr="00E7641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dedykowany statyw i osłony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15" w:rsidRPr="007476A4" w:rsidRDefault="00E76415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415" w:rsidRPr="007476A4" w:rsidRDefault="00E76415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F01C3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F01C3" w:rsidRPr="007476A4" w:rsidRDefault="006F01C3" w:rsidP="001362A6">
            <w:pPr>
              <w:spacing w:after="60" w:line="288" w:lineRule="auto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1C3" w:rsidRPr="007476A4" w:rsidRDefault="006F01C3" w:rsidP="001362A6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SUCHY BLOK GRZEJNY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1C3" w:rsidRPr="007476A4" w:rsidRDefault="006F01C3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6F01C3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F01C3" w:rsidRPr="007476A4" w:rsidRDefault="006F01C3" w:rsidP="00543547">
            <w:pPr>
              <w:pStyle w:val="Akapitzlist"/>
              <w:numPr>
                <w:ilvl w:val="0"/>
                <w:numId w:val="5"/>
              </w:numPr>
              <w:spacing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1C3" w:rsidRP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Suchy blok grzejny: </w:t>
            </w:r>
          </w:p>
          <w:p w:rsidR="006F01C3" w:rsidRP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zakres temperatury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40 – 120 </w:t>
            </w:r>
            <w:r w:rsidRPr="006F01C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:rsidR="006F01C3" w:rsidRP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błąd pomiaru/rozdzielczość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max.:  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0,3 </w:t>
            </w:r>
            <w:r w:rsidRPr="006F01C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C/ 0,1 </w:t>
            </w:r>
            <w:r w:rsidRPr="006F01C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</w:t>
            </w:r>
          </w:p>
          <w:p w:rsid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- 3 bloki wymienne do przystosowania we własnym zakresie </w:t>
            </w:r>
          </w:p>
          <w:p w:rsidR="006F01C3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</w:t>
            </w:r>
          </w:p>
          <w:p w:rsidR="006F01C3" w:rsidRPr="007476A4" w:rsidRDefault="006F01C3" w:rsidP="006F01C3">
            <w:pPr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2 bloki wymienne z otworami przystosowanymi do fiolek z zestawów do znakowania radiofarmaceutyków firmy Polatom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(posiadanymi przez Zamawiającego) 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oraz do znakowania analogów somatostatyny firmy AAA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(posiadanymi przez Zamawiającego)</w:t>
            </w:r>
            <w:r w:rsidRPr="006F01C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i 1 blok bez otworów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1C3" w:rsidRPr="007476A4" w:rsidRDefault="006F01C3" w:rsidP="001362A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1C3" w:rsidRPr="007476A4" w:rsidRDefault="006F01C3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</w:tcPr>
          <w:p w:rsidR="007476A4" w:rsidRPr="007476A4" w:rsidRDefault="007476A4" w:rsidP="007476A4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7476A4" w:rsidRDefault="007476A4" w:rsidP="007476A4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7476A4"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INNE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7476A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7476A4" w:rsidRPr="007476A4" w:rsidRDefault="007476A4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7476A4" w:rsidRDefault="007476A4" w:rsidP="007476A4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7476A4"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7476A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7476A4" w:rsidRPr="007476A4" w:rsidRDefault="007476A4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7476A4" w:rsidRDefault="007476A4" w:rsidP="007476A4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7476A4"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Komplet dokumentów i testów, których wykonanie zgodnie z obowiązującymi przepisami leży po stronie dostawcy, a które są niezbędne do odbioru pracowni i urządzenia przez uprawnione instytucje - wymienić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7476A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EB7E02" w:rsidRPr="007476A4" w:rsidTr="0013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EB7E02" w:rsidRPr="00EB7E02" w:rsidRDefault="00EB7E02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7E02" w:rsidRPr="00EB7E02" w:rsidRDefault="00EB7E02" w:rsidP="001362A6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 w:rsidRPr="00EB7E02"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>Należy zabezpieczyć prawidłowe wykonanie testów specjalistycznych (jeżeli wymagane, zgodnie z aktualnie obowiązującymi przepisami prawa)  oraz dopasowanie pracowni do wymogów oferowanego urządzenia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E02" w:rsidRPr="00EB7E02" w:rsidRDefault="00EB7E02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EB7E02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02" w:rsidRPr="007476A4" w:rsidRDefault="00EB7E02" w:rsidP="001362A6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E02" w:rsidRPr="007476A4" w:rsidRDefault="00EB7E02" w:rsidP="001362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476A4" w:rsidRPr="007476A4" w:rsidTr="00747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7476A4" w:rsidRPr="00EB7E02" w:rsidRDefault="007476A4" w:rsidP="00543547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entury Gothic" w:eastAsia="Calibri" w:hAnsi="Century Gothic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476A4" w:rsidRPr="00EB7E02" w:rsidRDefault="00EB7E02" w:rsidP="00EB7E02">
            <w:pPr>
              <w:pStyle w:val="Nagwek1"/>
              <w:widowControl/>
              <w:shd w:val="clear" w:color="auto" w:fill="auto"/>
              <w:suppressAutoHyphens w:val="0"/>
              <w:snapToGrid w:val="0"/>
              <w:ind w:left="0"/>
              <w:rPr>
                <w:rFonts w:ascii="Century Gothic" w:eastAsiaTheme="minorHAnsi" w:hAnsi="Century Gothic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>Wykonawca jest zobowiązany</w:t>
            </w:r>
            <w:r w:rsidR="007476A4" w:rsidRPr="00EB7E02"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 xml:space="preserve"> zabezpieczyć prawidłowe </w:t>
            </w:r>
            <w:r>
              <w:rPr>
                <w:rFonts w:ascii="Century Gothic" w:eastAsia="Times New Roman" w:hAnsi="Century Gothic" w:cs="Calibri"/>
                <w:b w:val="0"/>
                <w:sz w:val="18"/>
                <w:szCs w:val="18"/>
              </w:rPr>
              <w:t xml:space="preserve">podłączenie oferowanego urządzenia do istniejących warunków infrastruktury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EB7E02" w:rsidRDefault="007476A4" w:rsidP="007476A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EB7E02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A4" w:rsidRPr="007476A4" w:rsidRDefault="007476A4" w:rsidP="007476A4">
            <w:pPr>
              <w:pStyle w:val="TableContents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6A4" w:rsidRPr="007476A4" w:rsidRDefault="007476A4" w:rsidP="00DF313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8A4119" w:rsidRPr="007476A4" w:rsidRDefault="008A4119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7476A4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7476A4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7476A4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3825"/>
        <w:gridCol w:w="2554"/>
      </w:tblGrid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 w:rsidP="00543547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7476A4" w:rsidRDefault="004B5E68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7476A4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806F74" w:rsidP="00806F7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</w:p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całość ewentualnych prac i 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wyposażenia sprzętowego, które będzie służyło tej funkcjonalności po stronie wykonawcy)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podać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 – 3 pkt.</w:t>
            </w:r>
          </w:p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nie – 0 pkt.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2D52F1" w:rsidP="0059623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7476A4">
              <w:rPr>
                <w:rFonts w:ascii="Century Gothic" w:hAnsi="Century Gothic"/>
                <w:sz w:val="18"/>
                <w:szCs w:val="18"/>
              </w:rPr>
              <w:t>48</w:t>
            </w:r>
            <w:r w:rsidRPr="007476A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966B2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bookmarkStart w:id="0" w:name="_GoBack"/>
            <w:bookmarkEnd w:id="0"/>
            <w:r w:rsidRPr="00966B2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</w:t>
            </w:r>
            <w:r w:rsidR="004B5E68" w:rsidRPr="00966B2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ak</w:t>
            </w:r>
            <w:r w:rsidRPr="00966B2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, podać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7476A4" w:rsidRDefault="002D52F1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7476A4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7476A4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7476A4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476A4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</w:t>
            </w:r>
            <w:r w:rsidRPr="007476A4">
              <w:rPr>
                <w:rFonts w:ascii="Century Gothic" w:hAnsi="Century Gothic"/>
                <w:color w:val="000000" w:themeColor="text1"/>
                <w:sz w:val="18"/>
                <w:szCs w:val="18"/>
              </w:rPr>
              <w:lastRenderedPageBreak/>
              <w:t xml:space="preserve">pogwarancyjnego Wykonawcy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7476A4" w:rsidRDefault="004B5E68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7476A4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7476A4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0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osób z możliwością podziału i szkolenia w mniejszych podgrupach) w momencie jego instalacji i odbioru; w razie potrzeby Zamawiającego, możliwość stałego wsparcia ap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likacyjnego w początkowym (do 6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> -ciu miesięcy) okresie pracy urządzeń (dodatkowe szkolenie, dodatkowa grupa osób, konsultacje,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DF313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technicznego (min. 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2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DF313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informatycznego umożliwiania zdalnej diagnostyki, wymagań konferencyjnych, wpięcia urządzenia w system gromadzenia dokumentacji medycznej szpitala, diagnostyki i konfiguracji (min. </w:t>
            </w:r>
            <w:r w:rsidR="00596231" w:rsidRPr="007476A4">
              <w:rPr>
                <w:rFonts w:ascii="Century Gothic" w:hAnsi="Century Gothic" w:cs="Times New Roman"/>
                <w:sz w:val="18"/>
                <w:szCs w:val="18"/>
              </w:rPr>
              <w:t>2</w:t>
            </w:r>
            <w:r w:rsidRPr="007476A4">
              <w:rPr>
                <w:rFonts w:ascii="Century Gothic" w:hAnsi="Century Gothic" w:cs="Times New Roman"/>
                <w:sz w:val="18"/>
                <w:szCs w:val="18"/>
              </w:rPr>
              <w:t xml:space="preserve"> osoby)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DF313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DF313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912D05" w:rsidRPr="007476A4" w:rsidRDefault="00912D05" w:rsidP="00543547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912D05" w:rsidRPr="007476A4" w:rsidRDefault="00912D05" w:rsidP="00543547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</w:t>
            </w:r>
            <w:r w:rsidR="008A4119"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by, w innym terminie ustalonym 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kierownikiem pracowni,</w:t>
            </w:r>
          </w:p>
          <w:p w:rsidR="00912D05" w:rsidRPr="007476A4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7476A4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Wykonawca w ramach dostawy sprzętu zobowiązuje się dostarczyć komplet akcesoriów, okablowania itp. asortymentu </w:t>
            </w: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niezbędnego do uruchomienia i funkcjonowania aparatu jako całości w wymaganej specyfikacją konfiguracji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912D05" w:rsidRPr="007476A4" w:rsidTr="003741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 w:rsidP="00543547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7476A4" w:rsidRDefault="00912D05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912D05" w:rsidRPr="007476A4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7476A4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7476A4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7476A4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7476A4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7476A4" w:rsidSect="00A60903">
      <w:headerReference w:type="default" r:id="rId8"/>
      <w:footerReference w:type="default" r:id="rId9"/>
      <w:pgSz w:w="16838" w:h="11906" w:orient="landscape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59" w:rsidRDefault="00057559" w:rsidP="002B10C5">
      <w:pPr>
        <w:spacing w:after="0" w:line="240" w:lineRule="auto"/>
      </w:pPr>
      <w:r>
        <w:separator/>
      </w:r>
    </w:p>
  </w:endnote>
  <w:endnote w:type="continuationSeparator" w:id="0">
    <w:p w:rsidR="00057559" w:rsidRDefault="00057559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432453"/>
      <w:docPartObj>
        <w:docPartGallery w:val="Page Numbers (Bottom of Page)"/>
        <w:docPartUnique/>
      </w:docPartObj>
    </w:sdtPr>
    <w:sdtEndPr/>
    <w:sdtContent>
      <w:p w:rsidR="001362A6" w:rsidRDefault="00136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2D">
          <w:rPr>
            <w:noProof/>
          </w:rPr>
          <w:t>12</w:t>
        </w:r>
        <w:r>
          <w:fldChar w:fldCharType="end"/>
        </w:r>
      </w:p>
    </w:sdtContent>
  </w:sdt>
  <w:p w:rsidR="001362A6" w:rsidRDefault="00136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59" w:rsidRDefault="00057559" w:rsidP="002B10C5">
      <w:pPr>
        <w:spacing w:after="0" w:line="240" w:lineRule="auto"/>
      </w:pPr>
      <w:r>
        <w:separator/>
      </w:r>
    </w:p>
  </w:footnote>
  <w:footnote w:type="continuationSeparator" w:id="0">
    <w:p w:rsidR="00057559" w:rsidRDefault="00057559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A6" w:rsidRDefault="001362A6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742950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62A6" w:rsidRPr="00A60903" w:rsidRDefault="001362A6" w:rsidP="00A60903">
    <w:pPr>
      <w:pStyle w:val="Tytu"/>
      <w:spacing w:line="288" w:lineRule="auto"/>
      <w:rPr>
        <w:rFonts w:ascii="Century Gothic" w:hAnsi="Century Gothic"/>
        <w:b w:val="0"/>
        <w:sz w:val="18"/>
        <w:szCs w:val="18"/>
      </w:rPr>
    </w:pPr>
    <w:r w:rsidRPr="00A60903">
      <w:rPr>
        <w:rFonts w:ascii="Century Gothic" w:hAnsi="Century Gothic"/>
        <w:b w:val="0"/>
        <w:sz w:val="18"/>
        <w:szCs w:val="18"/>
      </w:rPr>
      <w:t xml:space="preserve">NSSU.DFP.271.36.2018.KK </w:t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</w:r>
    <w:r w:rsidRPr="00A60903">
      <w:rPr>
        <w:rFonts w:ascii="Century Gothic" w:hAnsi="Century Gothic"/>
        <w:b w:val="0"/>
        <w:sz w:val="18"/>
        <w:szCs w:val="18"/>
      </w:rPr>
      <w:tab/>
      <w:t xml:space="preserve">          Załącznik nr 1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65E6"/>
    <w:multiLevelType w:val="hybridMultilevel"/>
    <w:tmpl w:val="15AE0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57559"/>
    <w:rsid w:val="00062621"/>
    <w:rsid w:val="00082567"/>
    <w:rsid w:val="00084A56"/>
    <w:rsid w:val="000872C6"/>
    <w:rsid w:val="000A01C5"/>
    <w:rsid w:val="000A42E2"/>
    <w:rsid w:val="000A70CE"/>
    <w:rsid w:val="00106FA1"/>
    <w:rsid w:val="00117DDC"/>
    <w:rsid w:val="001362A6"/>
    <w:rsid w:val="00140F74"/>
    <w:rsid w:val="00153000"/>
    <w:rsid w:val="00192883"/>
    <w:rsid w:val="00195D24"/>
    <w:rsid w:val="00226290"/>
    <w:rsid w:val="00226C7E"/>
    <w:rsid w:val="00243375"/>
    <w:rsid w:val="00277FF5"/>
    <w:rsid w:val="002B10C5"/>
    <w:rsid w:val="002B6545"/>
    <w:rsid w:val="002B7EF9"/>
    <w:rsid w:val="002D52F1"/>
    <w:rsid w:val="002E7641"/>
    <w:rsid w:val="0031723C"/>
    <w:rsid w:val="0035006A"/>
    <w:rsid w:val="003502EB"/>
    <w:rsid w:val="00374146"/>
    <w:rsid w:val="003816D4"/>
    <w:rsid w:val="00386BDE"/>
    <w:rsid w:val="00420195"/>
    <w:rsid w:val="00430D65"/>
    <w:rsid w:val="00431206"/>
    <w:rsid w:val="004537A6"/>
    <w:rsid w:val="004A3639"/>
    <w:rsid w:val="004A4815"/>
    <w:rsid w:val="004B5E68"/>
    <w:rsid w:val="004D0BBF"/>
    <w:rsid w:val="004E2ABC"/>
    <w:rsid w:val="004F3CBA"/>
    <w:rsid w:val="005019B3"/>
    <w:rsid w:val="00505CFB"/>
    <w:rsid w:val="00536CB8"/>
    <w:rsid w:val="00543547"/>
    <w:rsid w:val="0055762C"/>
    <w:rsid w:val="00595A76"/>
    <w:rsid w:val="00596231"/>
    <w:rsid w:val="005B49CB"/>
    <w:rsid w:val="006004C3"/>
    <w:rsid w:val="00605F1A"/>
    <w:rsid w:val="00617EC5"/>
    <w:rsid w:val="006309BF"/>
    <w:rsid w:val="006E090E"/>
    <w:rsid w:val="006F01C3"/>
    <w:rsid w:val="00716F0E"/>
    <w:rsid w:val="00726396"/>
    <w:rsid w:val="007475D7"/>
    <w:rsid w:val="007476A4"/>
    <w:rsid w:val="007B4693"/>
    <w:rsid w:val="007D2398"/>
    <w:rsid w:val="007D544F"/>
    <w:rsid w:val="008028E8"/>
    <w:rsid w:val="00806F74"/>
    <w:rsid w:val="008146EE"/>
    <w:rsid w:val="0084562E"/>
    <w:rsid w:val="00852D15"/>
    <w:rsid w:val="00877102"/>
    <w:rsid w:val="008A4119"/>
    <w:rsid w:val="008A7106"/>
    <w:rsid w:val="008E4B96"/>
    <w:rsid w:val="00912D05"/>
    <w:rsid w:val="009319E1"/>
    <w:rsid w:val="0093379E"/>
    <w:rsid w:val="00960A4A"/>
    <w:rsid w:val="00966B2D"/>
    <w:rsid w:val="00984712"/>
    <w:rsid w:val="009A662D"/>
    <w:rsid w:val="009B0ED9"/>
    <w:rsid w:val="009D6485"/>
    <w:rsid w:val="00A37445"/>
    <w:rsid w:val="00A60903"/>
    <w:rsid w:val="00A8133F"/>
    <w:rsid w:val="00AE7F64"/>
    <w:rsid w:val="00AF7709"/>
    <w:rsid w:val="00B009C9"/>
    <w:rsid w:val="00B3317A"/>
    <w:rsid w:val="00B33D13"/>
    <w:rsid w:val="00B425B1"/>
    <w:rsid w:val="00B61A26"/>
    <w:rsid w:val="00B72884"/>
    <w:rsid w:val="00B935A3"/>
    <w:rsid w:val="00B95922"/>
    <w:rsid w:val="00BA29CF"/>
    <w:rsid w:val="00BD5FB9"/>
    <w:rsid w:val="00BD6659"/>
    <w:rsid w:val="00BE7B7B"/>
    <w:rsid w:val="00C10E44"/>
    <w:rsid w:val="00C2669F"/>
    <w:rsid w:val="00C567EE"/>
    <w:rsid w:val="00C62F9D"/>
    <w:rsid w:val="00C64C0B"/>
    <w:rsid w:val="00C75220"/>
    <w:rsid w:val="00D73EB9"/>
    <w:rsid w:val="00D81DC0"/>
    <w:rsid w:val="00D93C7F"/>
    <w:rsid w:val="00DA12A3"/>
    <w:rsid w:val="00DA1FA2"/>
    <w:rsid w:val="00DC7F16"/>
    <w:rsid w:val="00DF3136"/>
    <w:rsid w:val="00E25CCA"/>
    <w:rsid w:val="00E2786E"/>
    <w:rsid w:val="00E50DAF"/>
    <w:rsid w:val="00E50E99"/>
    <w:rsid w:val="00E76415"/>
    <w:rsid w:val="00E97C9A"/>
    <w:rsid w:val="00EA2262"/>
    <w:rsid w:val="00EA6DEC"/>
    <w:rsid w:val="00EB7E02"/>
    <w:rsid w:val="00EC6DB9"/>
    <w:rsid w:val="00EC7C3F"/>
    <w:rsid w:val="00EF1ACA"/>
    <w:rsid w:val="00EF3E66"/>
    <w:rsid w:val="00F34EF1"/>
    <w:rsid w:val="00F65B8E"/>
    <w:rsid w:val="00F96794"/>
    <w:rsid w:val="00FA2BC1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572C"/>
  <w15:docId w15:val="{2C4EDFB5-9447-4E03-B88A-51F621A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60CA-1F00-4738-8EDD-91B4D299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2578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Kowalczyk</cp:lastModifiedBy>
  <cp:revision>16</cp:revision>
  <cp:lastPrinted>2018-03-16T13:18:00Z</cp:lastPrinted>
  <dcterms:created xsi:type="dcterms:W3CDTF">2019-01-02T08:31:00Z</dcterms:created>
  <dcterms:modified xsi:type="dcterms:W3CDTF">2019-01-02T10:09:00Z</dcterms:modified>
</cp:coreProperties>
</file>