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2E" w:rsidRPr="00B743B5" w:rsidRDefault="00F40F2E" w:rsidP="00F4221A">
      <w:pPr>
        <w:spacing w:line="360" w:lineRule="auto"/>
        <w:jc w:val="center"/>
        <w:rPr>
          <w:rFonts w:cs="Calibri"/>
          <w:b/>
          <w:lang w:eastAsia="zh-CN"/>
        </w:rPr>
      </w:pPr>
      <w:r w:rsidRPr="00B743B5">
        <w:rPr>
          <w:rFonts w:cs="Calibri"/>
          <w:b/>
          <w:lang w:eastAsia="zh-CN"/>
        </w:rPr>
        <w:t>OPIS PRZEDMIOTU ZAMÓWIENIA</w:t>
      </w:r>
    </w:p>
    <w:p w:rsidR="00F40F2E" w:rsidRPr="00B743B5" w:rsidRDefault="00F40F2E" w:rsidP="00B743B5">
      <w:pPr>
        <w:spacing w:after="120"/>
        <w:ind w:left="1560" w:right="2097"/>
        <w:jc w:val="center"/>
        <w:rPr>
          <w:rFonts w:cs="Calibri"/>
          <w:b/>
          <w:bdr w:val="none" w:sz="0" w:space="0" w:color="auto" w:frame="1"/>
        </w:rPr>
      </w:pPr>
      <w:r w:rsidRPr="00B743B5">
        <w:rPr>
          <w:rFonts w:cs="Calibri"/>
          <w:b/>
          <w:bdr w:val="none" w:sz="0" w:space="0" w:color="auto" w:frame="1"/>
        </w:rPr>
        <w:t>Dostawa aparatów SPECT-CT (2 sztuki) przeznaczonych dla Nowej Siedziby Szpitala Uniwersyteckiego (NSSU) wraz z instalacją, uruchomieniem i szkoleniem personelu oraz z konieczną adaptacją pomieszczeń.</w:t>
      </w:r>
    </w:p>
    <w:p w:rsidR="00F40F2E" w:rsidRPr="004B052C" w:rsidRDefault="00F40F2E" w:rsidP="00FC4BDF">
      <w:pPr>
        <w:spacing w:after="120"/>
        <w:ind w:left="2268" w:right="2238"/>
        <w:jc w:val="both"/>
        <w:rPr>
          <w:rFonts w:cs="Calibri"/>
          <w:b/>
          <w:sz w:val="20"/>
          <w:szCs w:val="20"/>
          <w:bdr w:val="none" w:sz="0" w:space="0" w:color="auto" w:frame="1"/>
        </w:rPr>
      </w:pPr>
    </w:p>
    <w:p w:rsidR="00F40F2E" w:rsidRPr="004B052C" w:rsidRDefault="00F40F2E" w:rsidP="00FC4BDF">
      <w:pPr>
        <w:spacing w:after="120"/>
        <w:ind w:left="2268" w:right="2238"/>
        <w:jc w:val="both"/>
        <w:rPr>
          <w:rFonts w:cs="Calibri"/>
          <w:sz w:val="20"/>
          <w:szCs w:val="20"/>
        </w:rPr>
      </w:pPr>
    </w:p>
    <w:p w:rsidR="00F40F2E" w:rsidRPr="004B052C" w:rsidRDefault="00F40F2E" w:rsidP="00800A7F">
      <w:pPr>
        <w:spacing w:line="288" w:lineRule="auto"/>
        <w:rPr>
          <w:rFonts w:cs="Calibri"/>
          <w:sz w:val="20"/>
          <w:szCs w:val="20"/>
          <w:lang w:eastAsia="zh-CN"/>
        </w:rPr>
      </w:pPr>
      <w:r w:rsidRPr="004B052C">
        <w:rPr>
          <w:rFonts w:cs="Calibri"/>
          <w:sz w:val="20"/>
          <w:szCs w:val="20"/>
          <w:lang w:eastAsia="zh-CN"/>
        </w:rPr>
        <w:t>Uwagi i objaśnienia:</w:t>
      </w:r>
    </w:p>
    <w:p w:rsidR="00F40F2E" w:rsidRPr="004B052C" w:rsidRDefault="00F40F2E" w:rsidP="00800A7F">
      <w:pPr>
        <w:numPr>
          <w:ilvl w:val="0"/>
          <w:numId w:val="15"/>
        </w:numPr>
        <w:suppressAutoHyphens/>
        <w:autoSpaceDN w:val="0"/>
        <w:spacing w:after="0" w:line="288" w:lineRule="auto"/>
        <w:jc w:val="both"/>
        <w:textAlignment w:val="baseline"/>
        <w:rPr>
          <w:rFonts w:cs="Calibri"/>
          <w:sz w:val="20"/>
          <w:szCs w:val="20"/>
          <w:lang w:eastAsia="zh-CN"/>
        </w:rPr>
      </w:pPr>
      <w:r w:rsidRPr="004B052C">
        <w:rPr>
          <w:rFonts w:cs="Calibri"/>
          <w:sz w:val="20"/>
          <w:szCs w:val="20"/>
          <w:lang w:eastAsia="zh-CN"/>
        </w:rPr>
        <w:t>Parametry określone jako „tak” są parametrami granicznymi. Udzielenie odpowiedzi „nie”  lub innej nie stanowiącej jednoznacznego potwierdzenia spełniania warunku będzie skutkowało odrzuceniem oferty.</w:t>
      </w:r>
    </w:p>
    <w:p w:rsidR="00F40F2E" w:rsidRPr="004B052C" w:rsidRDefault="00F40F2E" w:rsidP="00800A7F">
      <w:pPr>
        <w:numPr>
          <w:ilvl w:val="0"/>
          <w:numId w:val="15"/>
        </w:numPr>
        <w:suppressAutoHyphens/>
        <w:autoSpaceDN w:val="0"/>
        <w:spacing w:after="0" w:line="288" w:lineRule="auto"/>
        <w:jc w:val="both"/>
        <w:textAlignment w:val="baseline"/>
        <w:rPr>
          <w:rFonts w:cs="Calibri"/>
          <w:sz w:val="20"/>
          <w:szCs w:val="20"/>
          <w:lang w:eastAsia="zh-CN"/>
        </w:rPr>
      </w:pPr>
      <w:r w:rsidRPr="004B052C">
        <w:rPr>
          <w:rFonts w:cs="Calibri"/>
          <w:sz w:val="20"/>
          <w:szCs w:val="20"/>
          <w:lang w:eastAsia="zh-CN"/>
        </w:rPr>
        <w:t>Parametry o określonych warunkach liczbowych ( „=&gt;”  lub „&lt;=” ) są warunkami granicznymi, których niespełnienie spowoduje odrzucenie oferty. Wartość podana przy w/w oznaczeniach oznacza wartość wymaganą.</w:t>
      </w:r>
    </w:p>
    <w:p w:rsidR="00F40F2E" w:rsidRPr="004B052C" w:rsidRDefault="00F40F2E" w:rsidP="00800A7F">
      <w:pPr>
        <w:numPr>
          <w:ilvl w:val="0"/>
          <w:numId w:val="15"/>
        </w:numPr>
        <w:suppressAutoHyphens/>
        <w:autoSpaceDN w:val="0"/>
        <w:spacing w:after="0" w:line="288" w:lineRule="auto"/>
        <w:jc w:val="both"/>
        <w:textAlignment w:val="baseline"/>
        <w:rPr>
          <w:rFonts w:cs="Calibri"/>
          <w:sz w:val="20"/>
          <w:szCs w:val="20"/>
          <w:lang w:eastAsia="zh-CN"/>
        </w:rPr>
      </w:pPr>
      <w:r w:rsidRPr="004B052C">
        <w:rPr>
          <w:rFonts w:cs="Calibri"/>
          <w:sz w:val="20"/>
          <w:szCs w:val="20"/>
          <w:lang w:eastAsia="zh-CN"/>
        </w:rPr>
        <w:t>Wykonawca zobowiązany jest do podania parametrów w jednostkach wskazanych w niniejszym opisie.</w:t>
      </w:r>
    </w:p>
    <w:p w:rsidR="00F40F2E" w:rsidRPr="004B052C" w:rsidRDefault="00F40F2E" w:rsidP="00B743B5">
      <w:pPr>
        <w:numPr>
          <w:ilvl w:val="0"/>
          <w:numId w:val="15"/>
        </w:numPr>
        <w:suppressAutoHyphens/>
        <w:autoSpaceDN w:val="0"/>
        <w:spacing w:after="0" w:line="288" w:lineRule="auto"/>
        <w:jc w:val="both"/>
        <w:textAlignment w:val="baseline"/>
        <w:rPr>
          <w:rFonts w:cs="Calibri"/>
          <w:sz w:val="20"/>
          <w:szCs w:val="20"/>
          <w:lang w:eastAsia="zh-CN"/>
        </w:rPr>
      </w:pPr>
      <w:r w:rsidRPr="004B052C">
        <w:rPr>
          <w:rFonts w:cs="Calibri"/>
          <w:sz w:val="20"/>
          <w:szCs w:val="20"/>
          <w:lang w:eastAsia="zh-CN"/>
        </w:rPr>
        <w:t xml:space="preserve">Wykonawca gwarantuje niniejszym, że sprzęt jest fabrycznie nowy (rok produkcji: </w:t>
      </w:r>
      <w:r w:rsidRPr="00B743B5">
        <w:rPr>
          <w:rFonts w:cs="Calibri"/>
          <w:sz w:val="20"/>
          <w:szCs w:val="20"/>
          <w:lang w:eastAsia="zh-CN"/>
        </w:rPr>
        <w:t>nie wcześniej niż 2018</w:t>
      </w:r>
      <w:r w:rsidRPr="004B052C">
        <w:rPr>
          <w:rFonts w:cs="Calibri"/>
          <w:sz w:val="20"/>
          <w:szCs w:val="20"/>
          <w:lang w:eastAsia="zh-CN"/>
        </w:rPr>
        <w:t>), nieużywany, kompletny i do jego uruchomienia oraz stosowania zgodnie z przeznaczeniem nie jest konieczny zakup dodatkowych elementów i akcesoriów.</w:t>
      </w:r>
    </w:p>
    <w:p w:rsidR="00F40F2E" w:rsidRPr="004B052C" w:rsidRDefault="00F40F2E" w:rsidP="00800A7F">
      <w:pPr>
        <w:spacing w:line="288" w:lineRule="auto"/>
        <w:rPr>
          <w:rFonts w:cs="Calibri"/>
          <w:sz w:val="20"/>
          <w:szCs w:val="20"/>
          <w:lang w:eastAsia="zh-CN"/>
        </w:rPr>
      </w:pPr>
    </w:p>
    <w:p w:rsidR="00F40F2E" w:rsidRPr="004B052C" w:rsidRDefault="00F40F2E" w:rsidP="00800A7F">
      <w:pPr>
        <w:autoSpaceDE w:val="0"/>
        <w:adjustRightInd w:val="0"/>
        <w:spacing w:line="288" w:lineRule="auto"/>
        <w:rPr>
          <w:rFonts w:cs="Calibri"/>
          <w:sz w:val="20"/>
          <w:szCs w:val="20"/>
          <w:lang w:eastAsia="pl-PL"/>
        </w:rPr>
      </w:pPr>
      <w:r w:rsidRPr="004B052C">
        <w:rPr>
          <w:rFonts w:cs="Calibri"/>
          <w:sz w:val="20"/>
          <w:szCs w:val="20"/>
          <w:lang w:eastAsia="pl-PL"/>
        </w:rPr>
        <w:t>Nazwa i typ: ............................................................</w:t>
      </w:r>
    </w:p>
    <w:p w:rsidR="00F40F2E" w:rsidRPr="004B052C" w:rsidRDefault="00F40F2E" w:rsidP="00800A7F">
      <w:pPr>
        <w:autoSpaceDE w:val="0"/>
        <w:adjustRightInd w:val="0"/>
        <w:spacing w:line="288" w:lineRule="auto"/>
        <w:rPr>
          <w:rFonts w:cs="Calibri"/>
          <w:b/>
          <w:sz w:val="20"/>
          <w:szCs w:val="20"/>
          <w:lang w:eastAsia="pl-PL"/>
        </w:rPr>
      </w:pPr>
      <w:r w:rsidRPr="004B052C">
        <w:rPr>
          <w:rFonts w:cs="Calibri"/>
          <w:sz w:val="20"/>
          <w:szCs w:val="20"/>
          <w:lang w:eastAsia="pl-PL"/>
        </w:rPr>
        <w:t>Producent / kraj pochodzenia: ............................................................</w:t>
      </w:r>
    </w:p>
    <w:p w:rsidR="00F40F2E" w:rsidRPr="004B052C" w:rsidRDefault="00F40F2E" w:rsidP="00800A7F">
      <w:pPr>
        <w:spacing w:line="288" w:lineRule="auto"/>
        <w:rPr>
          <w:rFonts w:cs="Calibri"/>
          <w:b/>
          <w:sz w:val="20"/>
          <w:szCs w:val="20"/>
          <w:lang w:eastAsia="zh-CN"/>
        </w:rPr>
      </w:pPr>
      <w:r w:rsidRPr="004B052C">
        <w:rPr>
          <w:rFonts w:cs="Calibri"/>
          <w:sz w:val="20"/>
          <w:szCs w:val="20"/>
          <w:lang w:eastAsia="zh-CN"/>
        </w:rPr>
        <w:t>Rok produkcji (</w:t>
      </w:r>
      <w:r w:rsidRPr="00B743B5">
        <w:rPr>
          <w:rFonts w:cs="Calibri"/>
          <w:sz w:val="20"/>
          <w:szCs w:val="20"/>
          <w:lang w:eastAsia="zh-CN"/>
        </w:rPr>
        <w:t>nie wcześniej niż 2018</w:t>
      </w:r>
      <w:r w:rsidRPr="004B052C">
        <w:rPr>
          <w:rFonts w:cs="Calibri"/>
          <w:sz w:val="20"/>
          <w:szCs w:val="20"/>
          <w:lang w:eastAsia="zh-CN"/>
        </w:rPr>
        <w:t>): ............................................................</w:t>
      </w:r>
    </w:p>
    <w:p w:rsidR="00F40F2E" w:rsidRPr="004B052C" w:rsidRDefault="00F40F2E" w:rsidP="00800A7F">
      <w:pPr>
        <w:spacing w:line="288" w:lineRule="auto"/>
        <w:rPr>
          <w:rFonts w:cs="Calibri"/>
          <w:sz w:val="20"/>
          <w:szCs w:val="20"/>
          <w:lang w:eastAsia="zh-CN"/>
        </w:rPr>
      </w:pPr>
      <w:r w:rsidRPr="004B052C">
        <w:rPr>
          <w:rFonts w:cs="Calibri"/>
          <w:sz w:val="20"/>
          <w:szCs w:val="20"/>
          <w:lang w:eastAsia="zh-CN"/>
        </w:rPr>
        <w:t>Klasa wyrobu medycznego: ............................................................</w:t>
      </w:r>
    </w:p>
    <w:p w:rsidR="00F40F2E" w:rsidRDefault="00F40F2E">
      <w:pPr>
        <w:spacing w:after="200" w:line="276" w:lineRule="auto"/>
        <w:rPr>
          <w:rFonts w:cs="Calibri"/>
          <w:sz w:val="20"/>
          <w:szCs w:val="20"/>
          <w:lang w:eastAsia="zh-CN"/>
        </w:rPr>
      </w:pPr>
      <w:r>
        <w:rPr>
          <w:rFonts w:cs="Calibri"/>
          <w:sz w:val="20"/>
          <w:szCs w:val="20"/>
          <w:lang w:eastAsia="zh-CN"/>
        </w:rPr>
        <w:br w:type="page"/>
      </w:r>
    </w:p>
    <w:p w:rsidR="00F40F2E" w:rsidRPr="00A267CB" w:rsidRDefault="00F40F2E" w:rsidP="00A267CB">
      <w:pPr>
        <w:spacing w:line="288" w:lineRule="auto"/>
        <w:rPr>
          <w:rFonts w:cs="Calibri"/>
          <w:b/>
          <w:bCs/>
          <w:iCs/>
          <w:sz w:val="20"/>
          <w:szCs w:val="20"/>
          <w:shd w:val="clear" w:color="auto" w:fill="CCCCCC"/>
          <w:lang w:eastAsia="zh-CN"/>
        </w:rPr>
      </w:pP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F40F2E" w:rsidRPr="00C43122" w:rsidTr="003A7823">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3A7823">
            <w:pPr>
              <w:spacing w:after="0" w:line="240" w:lineRule="auto"/>
              <w:rPr>
                <w:b/>
              </w:rPr>
            </w:pPr>
            <w:r>
              <w:rPr>
                <w:bCs/>
              </w:rPr>
              <w:t xml:space="preserve">Przedmiot: </w:t>
            </w:r>
            <w:r>
              <w:rPr>
                <w:b/>
              </w:rPr>
              <w:t>Aparat</w:t>
            </w:r>
            <w:r w:rsidRPr="003A7823">
              <w:rPr>
                <w:b/>
              </w:rPr>
              <w:t xml:space="preserve"> SPECT-CT</w:t>
            </w:r>
            <w:r>
              <w:rPr>
                <w:b/>
              </w:rPr>
              <w:t xml:space="preserve"> (2 sztuki)</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3A7823">
            <w:pPr>
              <w:spacing w:after="0" w:line="240" w:lineRule="auto"/>
              <w:jc w:val="right"/>
              <w:rPr>
                <w:b/>
                <w:bCs/>
              </w:rPr>
            </w:pPr>
            <w:r w:rsidRPr="003A7823">
              <w:rPr>
                <w:b/>
                <w:bCs/>
              </w:rPr>
              <w:t>Cena brutto (w zł)</w:t>
            </w:r>
          </w:p>
        </w:tc>
      </w:tr>
      <w:tr w:rsidR="00F40F2E" w:rsidRPr="00C43122" w:rsidTr="00A267CB">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rPr>
                <w:bCs/>
              </w:rPr>
            </w:pPr>
            <w:r w:rsidRPr="003A7823">
              <w:rPr>
                <w:b/>
                <w:bCs/>
              </w:rPr>
              <w:t>A:</w:t>
            </w:r>
            <w:r w:rsidRPr="003A7823">
              <w:rPr>
                <w:bCs/>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F40F2E" w:rsidRPr="003A7823" w:rsidRDefault="00F40F2E" w:rsidP="00A267CB">
            <w:pPr>
              <w:spacing w:after="0" w:line="240" w:lineRule="auto"/>
              <w:jc w:val="center"/>
              <w:rPr>
                <w:bCs/>
              </w:rPr>
            </w:pPr>
            <w:r>
              <w:rPr>
                <w:bCs/>
              </w:rPr>
              <w:t>Ilość sztuk sprzętu:</w:t>
            </w:r>
          </w:p>
        </w:tc>
        <w:tc>
          <w:tcPr>
            <w:tcW w:w="3379" w:type="dxa"/>
            <w:tcBorders>
              <w:top w:val="nil"/>
              <w:left w:val="single" w:sz="8" w:space="0" w:color="auto"/>
              <w:bottom w:val="single" w:sz="8" w:space="0" w:color="auto"/>
              <w:right w:val="single" w:sz="8" w:space="0" w:color="auto"/>
            </w:tcBorders>
            <w:vAlign w:val="center"/>
          </w:tcPr>
          <w:p w:rsidR="00F40F2E" w:rsidRPr="003A7823" w:rsidRDefault="00F40F2E" w:rsidP="00A267CB">
            <w:pPr>
              <w:spacing w:after="0" w:line="240" w:lineRule="auto"/>
              <w:jc w:val="center"/>
              <w:rPr>
                <w:bCs/>
              </w:rPr>
            </w:pPr>
            <w:r w:rsidRPr="00A267CB">
              <w:rPr>
                <w:bCs/>
              </w:rPr>
              <w:t>Cena jednostkowa brutto</w:t>
            </w:r>
            <w:r>
              <w:rPr>
                <w:bCs/>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jc w:val="right"/>
              <w:rPr>
                <w:b/>
                <w:bCs/>
              </w:rPr>
            </w:pPr>
          </w:p>
        </w:tc>
      </w:tr>
      <w:tr w:rsidR="00F40F2E" w:rsidRPr="00C43122" w:rsidTr="00A267CB">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rPr>
                <w:b/>
                <w:bCs/>
              </w:rPr>
            </w:pPr>
          </w:p>
        </w:tc>
        <w:tc>
          <w:tcPr>
            <w:tcW w:w="3378" w:type="dxa"/>
            <w:tcBorders>
              <w:top w:val="nil"/>
              <w:left w:val="single" w:sz="8" w:space="0" w:color="auto"/>
              <w:bottom w:val="single" w:sz="8" w:space="0" w:color="auto"/>
              <w:right w:val="single" w:sz="8" w:space="0" w:color="auto"/>
            </w:tcBorders>
            <w:vAlign w:val="center"/>
          </w:tcPr>
          <w:p w:rsidR="00F40F2E" w:rsidRPr="003A7823" w:rsidRDefault="00F40F2E" w:rsidP="00A267CB">
            <w:pPr>
              <w:spacing w:after="0" w:line="240" w:lineRule="auto"/>
              <w:jc w:val="center"/>
              <w:rPr>
                <w:b/>
                <w:bCs/>
              </w:rPr>
            </w:pPr>
            <w:r>
              <w:rPr>
                <w:b/>
                <w:bCs/>
              </w:rPr>
              <w:t>2</w:t>
            </w:r>
          </w:p>
        </w:tc>
        <w:tc>
          <w:tcPr>
            <w:tcW w:w="3379" w:type="dxa"/>
            <w:tcBorders>
              <w:top w:val="nil"/>
              <w:left w:val="single" w:sz="8" w:space="0" w:color="auto"/>
              <w:bottom w:val="single" w:sz="8" w:space="0" w:color="auto"/>
              <w:right w:val="single" w:sz="8" w:space="0" w:color="auto"/>
            </w:tcBorders>
            <w:vAlign w:val="center"/>
          </w:tcPr>
          <w:p w:rsidR="00F40F2E" w:rsidRPr="003A7823" w:rsidRDefault="00F40F2E" w:rsidP="00A267CB">
            <w:pPr>
              <w:spacing w:after="0" w:line="240" w:lineRule="auto"/>
              <w:jc w:val="center"/>
              <w:rPr>
                <w:b/>
                <w:bCs/>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jc w:val="right"/>
              <w:rPr>
                <w:b/>
                <w:bCs/>
              </w:rPr>
            </w:pPr>
          </w:p>
        </w:tc>
      </w:tr>
      <w:tr w:rsidR="00F40F2E" w:rsidRPr="00C43122" w:rsidTr="00A267CB">
        <w:trPr>
          <w:trHeight w:val="544"/>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rPr>
                <w:bCs/>
              </w:rPr>
            </w:pPr>
            <w:r w:rsidRPr="003A7823">
              <w:rPr>
                <w:b/>
                <w:bCs/>
              </w:rPr>
              <w:t>B:</w:t>
            </w:r>
            <w:r w:rsidRPr="003A7823">
              <w:rPr>
                <w:bCs/>
              </w:rPr>
              <w:t xml:space="preserve"> Cena brutto adaptacji pomieszczeń </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jc w:val="right"/>
              <w:rPr>
                <w:b/>
                <w:bCs/>
              </w:rPr>
            </w:pPr>
          </w:p>
        </w:tc>
      </w:tr>
      <w:tr w:rsidR="00F40F2E" w:rsidRPr="00C43122" w:rsidTr="00A267CB">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rPr>
                <w:bCs/>
              </w:rPr>
            </w:pPr>
            <w:r w:rsidRPr="003A7823">
              <w:rPr>
                <w:b/>
                <w:bCs/>
              </w:rPr>
              <w:t>C:</w:t>
            </w:r>
            <w:r w:rsidRPr="003A7823">
              <w:rPr>
                <w:bCs/>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jc w:val="right"/>
              <w:rPr>
                <w:b/>
                <w:bCs/>
              </w:rPr>
            </w:pPr>
          </w:p>
        </w:tc>
      </w:tr>
      <w:tr w:rsidR="00F40F2E" w:rsidRPr="00C43122" w:rsidTr="00A267CB">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rPr>
                <w:bCs/>
              </w:rPr>
            </w:pPr>
            <w:r w:rsidRPr="003A7823">
              <w:rPr>
                <w:b/>
                <w:bCs/>
              </w:rPr>
              <w:t>D:</w:t>
            </w:r>
            <w:r w:rsidRPr="003A7823">
              <w:rPr>
                <w:bCs/>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jc w:val="right"/>
              <w:rPr>
                <w:b/>
                <w:bCs/>
              </w:rPr>
            </w:pPr>
          </w:p>
        </w:tc>
      </w:tr>
      <w:tr w:rsidR="00F40F2E" w:rsidRPr="00C43122" w:rsidTr="00A267CB">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rPr>
                <w:bCs/>
              </w:rPr>
            </w:pPr>
            <w:r w:rsidRPr="003A7823">
              <w:rPr>
                <w:b/>
                <w:bCs/>
              </w:rPr>
              <w:t>A+B+C+D:</w:t>
            </w:r>
            <w:r w:rsidRPr="003A7823">
              <w:rPr>
                <w:bCs/>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jc w:val="right"/>
              <w:rPr>
                <w:b/>
                <w:bCs/>
              </w:rPr>
            </w:pPr>
          </w:p>
        </w:tc>
      </w:tr>
    </w:tbl>
    <w:p w:rsidR="00F40F2E" w:rsidRPr="004B052C" w:rsidRDefault="00F40F2E" w:rsidP="00800A7F">
      <w:pPr>
        <w:spacing w:after="200" w:line="276" w:lineRule="auto"/>
        <w:rPr>
          <w:rFonts w:cs="Calibri"/>
          <w:b/>
          <w:bCs/>
          <w:i/>
          <w:iCs/>
          <w:sz w:val="20"/>
          <w:szCs w:val="20"/>
          <w:shd w:val="clear" w:color="auto" w:fill="CCCCCC"/>
          <w:lang w:eastAsia="zh-CN"/>
        </w:rPr>
      </w:pPr>
    </w:p>
    <w:p w:rsidR="00F40F2E" w:rsidRPr="004B052C" w:rsidRDefault="00F40F2E" w:rsidP="00800A7F">
      <w:pPr>
        <w:spacing w:after="200" w:line="276" w:lineRule="auto"/>
        <w:rPr>
          <w:rFonts w:cs="Calibri"/>
          <w:b/>
          <w:bCs/>
          <w:i/>
          <w:iCs/>
          <w:sz w:val="20"/>
          <w:szCs w:val="20"/>
          <w:shd w:val="clear" w:color="auto" w:fill="CCCCCC"/>
          <w:lang w:eastAsia="zh-CN"/>
        </w:rPr>
      </w:pPr>
    </w:p>
    <w:p w:rsidR="00F40F2E" w:rsidRPr="004B052C" w:rsidRDefault="00F40F2E" w:rsidP="00800A7F">
      <w:pPr>
        <w:spacing w:after="200" w:line="276" w:lineRule="auto"/>
        <w:rPr>
          <w:rFonts w:cs="Calibri"/>
          <w:b/>
          <w:bCs/>
          <w:i/>
          <w:iCs/>
          <w:sz w:val="20"/>
          <w:szCs w:val="20"/>
          <w:shd w:val="clear" w:color="auto" w:fill="CCCCCC"/>
          <w:lang w:eastAsia="zh-CN"/>
        </w:rPr>
      </w:pPr>
    </w:p>
    <w:p w:rsidR="00F40F2E" w:rsidRDefault="00F40F2E">
      <w:pPr>
        <w:spacing w:after="200" w:line="276" w:lineRule="auto"/>
        <w:rPr>
          <w:rFonts w:cs="Calibri"/>
          <w:b/>
          <w:bCs/>
          <w:i/>
          <w:iCs/>
          <w:sz w:val="20"/>
          <w:szCs w:val="20"/>
          <w:shd w:val="clear" w:color="auto" w:fill="CCCCCC"/>
          <w:lang w:eastAsia="zh-CN"/>
        </w:rPr>
      </w:pPr>
      <w:r>
        <w:rPr>
          <w:rFonts w:cs="Calibri"/>
          <w:b/>
          <w:bCs/>
          <w:i/>
          <w:iCs/>
          <w:sz w:val="20"/>
          <w:szCs w:val="20"/>
          <w:shd w:val="clear" w:color="auto" w:fill="CCCCCC"/>
          <w:lang w:eastAsia="zh-CN"/>
        </w:rPr>
        <w:br w:type="page"/>
      </w:r>
    </w:p>
    <w:p w:rsidR="00F40F2E" w:rsidRPr="004A022F" w:rsidRDefault="00F40F2E" w:rsidP="00836009">
      <w:pPr>
        <w:pStyle w:val="Nagwek2"/>
        <w:ind w:left="567"/>
        <w:rPr>
          <w:rFonts w:ascii="Calibri" w:hAnsi="Calibri" w:cs="Calibri"/>
          <w:sz w:val="22"/>
          <w:szCs w:val="22"/>
        </w:rPr>
      </w:pPr>
      <w:r w:rsidRPr="004A022F">
        <w:rPr>
          <w:rFonts w:ascii="Calibri" w:hAnsi="Calibri" w:cs="Calibri"/>
          <w:sz w:val="22"/>
          <w:szCs w:val="22"/>
          <w:lang w:eastAsia="zh-CN"/>
        </w:rPr>
        <w:t>PARAMETRY TECHNICZNE I EKSPLOATACYJNE</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096"/>
        <w:gridCol w:w="1975"/>
        <w:gridCol w:w="3128"/>
        <w:gridCol w:w="3260"/>
      </w:tblGrid>
      <w:tr w:rsidR="00F40F2E" w:rsidRPr="00C43122" w:rsidTr="00C43122">
        <w:tc>
          <w:tcPr>
            <w:tcW w:w="567" w:type="dxa"/>
            <w:vAlign w:val="center"/>
          </w:tcPr>
          <w:p w:rsidR="00F40F2E" w:rsidRPr="00C43122" w:rsidRDefault="00F40F2E" w:rsidP="00C43122">
            <w:pPr>
              <w:pStyle w:val="Akapitzlist"/>
              <w:ind w:hanging="720"/>
              <w:rPr>
                <w:rFonts w:cs="Calibri"/>
                <w:sz w:val="18"/>
                <w:szCs w:val="18"/>
              </w:rPr>
            </w:pPr>
            <w:r w:rsidRPr="00C43122">
              <w:rPr>
                <w:rFonts w:cs="Calibri"/>
                <w:b/>
                <w:sz w:val="18"/>
                <w:szCs w:val="18"/>
              </w:rPr>
              <w:t>Lp</w:t>
            </w:r>
          </w:p>
        </w:tc>
        <w:tc>
          <w:tcPr>
            <w:tcW w:w="6096" w:type="dxa"/>
            <w:vAlign w:val="center"/>
          </w:tcPr>
          <w:p w:rsidR="00F40F2E" w:rsidRPr="00C43122" w:rsidRDefault="00F40F2E" w:rsidP="002F3D91">
            <w:pPr>
              <w:rPr>
                <w:rFonts w:cs="Calibri"/>
                <w:sz w:val="20"/>
                <w:szCs w:val="20"/>
              </w:rPr>
            </w:pPr>
            <w:r w:rsidRPr="00C43122">
              <w:rPr>
                <w:rFonts w:cs="Calibri"/>
                <w:b/>
                <w:sz w:val="20"/>
                <w:szCs w:val="20"/>
              </w:rPr>
              <w:t>Opis parametru</w:t>
            </w:r>
          </w:p>
        </w:tc>
        <w:tc>
          <w:tcPr>
            <w:tcW w:w="1975" w:type="dxa"/>
            <w:vAlign w:val="center"/>
          </w:tcPr>
          <w:p w:rsidR="00F40F2E" w:rsidRPr="00C43122" w:rsidRDefault="00F40F2E" w:rsidP="00C43122">
            <w:pPr>
              <w:jc w:val="center"/>
              <w:rPr>
                <w:rFonts w:cs="Calibri"/>
                <w:sz w:val="20"/>
                <w:szCs w:val="20"/>
              </w:rPr>
            </w:pPr>
            <w:r w:rsidRPr="00C43122">
              <w:rPr>
                <w:rFonts w:cs="Calibri"/>
                <w:b/>
                <w:sz w:val="20"/>
                <w:szCs w:val="20"/>
              </w:rPr>
              <w:t>Parametr wymagany/ wartość</w:t>
            </w:r>
          </w:p>
        </w:tc>
        <w:tc>
          <w:tcPr>
            <w:tcW w:w="3128" w:type="dxa"/>
            <w:vAlign w:val="center"/>
          </w:tcPr>
          <w:p w:rsidR="00F40F2E" w:rsidRPr="00C43122" w:rsidRDefault="00F40F2E" w:rsidP="00C43122">
            <w:pPr>
              <w:jc w:val="center"/>
              <w:rPr>
                <w:rFonts w:cs="Calibri"/>
                <w:sz w:val="20"/>
                <w:szCs w:val="20"/>
              </w:rPr>
            </w:pPr>
            <w:r w:rsidRPr="00C43122">
              <w:rPr>
                <w:rFonts w:cs="Calibri"/>
                <w:b/>
                <w:sz w:val="20"/>
                <w:szCs w:val="20"/>
              </w:rPr>
              <w:t>Parametr oferowany</w:t>
            </w:r>
          </w:p>
        </w:tc>
        <w:tc>
          <w:tcPr>
            <w:tcW w:w="3260" w:type="dxa"/>
            <w:vAlign w:val="center"/>
          </w:tcPr>
          <w:p w:rsidR="00F40F2E" w:rsidRPr="00C43122" w:rsidRDefault="00F40F2E" w:rsidP="00C43122">
            <w:pPr>
              <w:jc w:val="center"/>
              <w:rPr>
                <w:rFonts w:cs="Calibri"/>
                <w:sz w:val="20"/>
                <w:szCs w:val="20"/>
              </w:rPr>
            </w:pPr>
            <w:r w:rsidRPr="00C43122">
              <w:rPr>
                <w:rFonts w:cs="Calibri"/>
                <w:b/>
                <w:sz w:val="20"/>
                <w:szCs w:val="20"/>
              </w:rPr>
              <w:t>Sposób oceny parametru</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Informacje ogólne</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9E606A">
            <w:pPr>
              <w:rPr>
                <w:rFonts w:cs="Calibri"/>
                <w:sz w:val="20"/>
                <w:szCs w:val="20"/>
              </w:rPr>
            </w:pPr>
            <w:r w:rsidRPr="00C43122">
              <w:rPr>
                <w:rFonts w:cs="Calibri"/>
                <w:sz w:val="20"/>
                <w:szCs w:val="20"/>
              </w:rPr>
              <w:t xml:space="preserve">Aparat fabrycznie nowy, z bieżącej produkcji, nie wcześniej niż 2018 rok (wszystkie elementy i części składowe systemów nowe, nieużywane i nierekondycjonowane) </w:t>
            </w:r>
          </w:p>
        </w:tc>
        <w:tc>
          <w:tcPr>
            <w:tcW w:w="1975" w:type="dxa"/>
            <w:vAlign w:val="center"/>
          </w:tcPr>
          <w:p w:rsidR="00F40F2E" w:rsidRPr="00C43122" w:rsidRDefault="00F40F2E" w:rsidP="00C43122">
            <w:pPr>
              <w:pStyle w:val="Zawartotabeli"/>
              <w:snapToGrid w:val="0"/>
              <w:jc w:val="center"/>
              <w:rPr>
                <w:rFonts w:ascii="Calibri" w:hAnsi="Calibri" w:cs="Calibri"/>
                <w:sz w:val="20"/>
                <w:szCs w:val="20"/>
              </w:rPr>
            </w:pPr>
            <w:r w:rsidRPr="00C43122">
              <w:rPr>
                <w:rFonts w:ascii="Calibri" w:hAnsi="Calibri" w:cs="Calibri"/>
                <w:sz w:val="20"/>
                <w:szCs w:val="20"/>
              </w:rPr>
              <w:t>Tak</w:t>
            </w:r>
          </w:p>
        </w:tc>
        <w:tc>
          <w:tcPr>
            <w:tcW w:w="3128" w:type="dxa"/>
            <w:vAlign w:val="center"/>
          </w:tcPr>
          <w:p w:rsidR="00F40F2E" w:rsidRPr="00C43122" w:rsidRDefault="00F40F2E" w:rsidP="00C43122">
            <w:pPr>
              <w:pStyle w:val="Zawartotabeli"/>
              <w:snapToGrid w:val="0"/>
              <w:jc w:val="center"/>
              <w:rPr>
                <w:rFonts w:ascii="Calibri" w:hAnsi="Calibri" w:cs="Calibri"/>
                <w:sz w:val="20"/>
                <w:szCs w:val="20"/>
              </w:rPr>
            </w:pPr>
          </w:p>
        </w:tc>
        <w:tc>
          <w:tcPr>
            <w:tcW w:w="3260" w:type="dxa"/>
            <w:vAlign w:val="center"/>
          </w:tcPr>
          <w:p w:rsidR="00F40F2E" w:rsidRPr="00C43122" w:rsidRDefault="00F40F2E" w:rsidP="00C43122">
            <w:pPr>
              <w:pStyle w:val="Zawartotabeli"/>
              <w:snapToGrid w:val="0"/>
              <w:jc w:val="center"/>
              <w:rPr>
                <w:rFonts w:ascii="Calibri" w:hAnsi="Calibri" w:cs="Calibri"/>
                <w:sz w:val="20"/>
                <w:szCs w:val="20"/>
              </w:rPr>
            </w:pPr>
            <w:r w:rsidRPr="00C43122">
              <w:rPr>
                <w:rFonts w:ascii="Calibri" w:hAnsi="Calibri"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Gamma kamera SPECT/CT– szt. 2</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Informacje wspólne</w:t>
            </w:r>
          </w:p>
        </w:tc>
      </w:tr>
      <w:tr w:rsidR="00F40F2E" w:rsidRPr="00C43122" w:rsidTr="00C43122">
        <w:tc>
          <w:tcPr>
            <w:tcW w:w="567" w:type="dxa"/>
            <w:vAlign w:val="center"/>
          </w:tcPr>
          <w:p w:rsidR="00F40F2E" w:rsidRPr="00C43122" w:rsidRDefault="00F40F2E" w:rsidP="00C43122">
            <w:pPr>
              <w:pStyle w:val="Akapitzlist"/>
              <w:ind w:hanging="720"/>
              <w:rPr>
                <w:rFonts w:cs="Calibri"/>
                <w:sz w:val="20"/>
                <w:szCs w:val="20"/>
              </w:rPr>
            </w:pPr>
          </w:p>
        </w:tc>
        <w:tc>
          <w:tcPr>
            <w:tcW w:w="6096" w:type="dxa"/>
            <w:vAlign w:val="center"/>
          </w:tcPr>
          <w:p w:rsidR="00F40F2E" w:rsidRPr="00C43122" w:rsidRDefault="00F40F2E" w:rsidP="00310618">
            <w:pPr>
              <w:rPr>
                <w:rFonts w:cs="Calibri"/>
                <w:sz w:val="20"/>
                <w:szCs w:val="20"/>
              </w:rPr>
            </w:pPr>
            <w:r w:rsidRPr="00C43122">
              <w:rPr>
                <w:rFonts w:cs="Calibri"/>
                <w:sz w:val="20"/>
                <w:szCs w:val="20"/>
              </w:rPr>
              <w:t xml:space="preserve">Oferowany poniżej aparat jest kompletny i będzie po zainstalowaniu gotów do podjęcia wyszczególnionych badań medycznych bez żadnych dodatkowych zakupów i inwestycji. Systemy nie mają być prototypem, zaoferowane funkcjonalności skanera muszą być możliwe do prezentacji w zainstalowanym i pracującym skanerze (skanerach) na terenie PL lub Eu.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572"/>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2F3D91">
            <w:pPr>
              <w:rPr>
                <w:rFonts w:cs="Calibri"/>
                <w:sz w:val="20"/>
                <w:szCs w:val="20"/>
              </w:rPr>
            </w:pPr>
            <w:r w:rsidRPr="00C43122">
              <w:rPr>
                <w:rFonts w:cs="Calibri"/>
                <w:sz w:val="20"/>
                <w:szCs w:val="20"/>
              </w:rPr>
              <w:t>Wpisać nazwę i model, producenta oraz rok produkcji dla obu oferowanych gamma kamer.</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Możliwość wykonania rutynowo badania SPECT/CT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wykonania rutynowo tylko badania SPECT bez badania 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521"/>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wykonania rutynowo tylko diagnostycznego badania CT bez badania SPECT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521"/>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wykonania, opracowania i raportowania wszystkich testów dotyczących SPECT, CT, SPECT/CT wg obowiązujących przepisów krajowych . Na poziomie użytkownika.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521"/>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wykonania, opracowania i raportowania wszystkich testów dotyczących SPECT wg standardu NEMA. Na poziomie użytkownika.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Średnica otworu gantry SPECT i gantry CT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70,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rPr>
                <w:rFonts w:cs="Calibri"/>
                <w:sz w:val="20"/>
                <w:szCs w:val="20"/>
              </w:rPr>
            </w:pPr>
            <w:r w:rsidRPr="00C43122">
              <w:rPr>
                <w:rFonts w:cs="Calibri"/>
                <w:sz w:val="20"/>
                <w:szCs w:val="20"/>
              </w:rPr>
              <w:t xml:space="preserve">Podgląd położenia pacjenta na monitorze podglądu (persistence scope) przy gantry aparatu: Jeden monitor podglądu dostępny </w:t>
            </w:r>
            <w:r w:rsidRPr="00C43122">
              <w:rPr>
                <w:rFonts w:cs="Calibri"/>
                <w:sz w:val="20"/>
                <w:szCs w:val="20"/>
              </w:rPr>
              <w:br/>
              <w:t>z obu stron gantry (bez konieczności demontażu), prezentujący dodatkowo podgląd obrazu z obu detektorów, parametry pozycji gantry, parametry pozycji detektorów, parametry pozycji stołu, typ zainstalowanego kolimatora.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310618">
            <w:pPr>
              <w:rPr>
                <w:rFonts w:cs="Calibri"/>
                <w:sz w:val="20"/>
                <w:szCs w:val="20"/>
              </w:rPr>
            </w:pPr>
            <w:r w:rsidRPr="00C43122">
              <w:rPr>
                <w:rFonts w:cs="Calibri"/>
                <w:sz w:val="20"/>
                <w:szCs w:val="20"/>
              </w:rPr>
              <w:t xml:space="preserve">Przyciski bezpieczeństwa STOP – do natychmiastowego awaryjnego wyłączenia systemu – umieszczone po obu stronach gantry.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2 piloty lub 1 pilot do obsługi systemu – dostępne po obu stronach gantry.</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310618">
            <w:pPr>
              <w:rPr>
                <w:rFonts w:cs="Calibri"/>
                <w:sz w:val="20"/>
                <w:szCs w:val="20"/>
              </w:rPr>
            </w:pPr>
            <w:r w:rsidRPr="00C43122">
              <w:rPr>
                <w:rFonts w:cs="Calibri"/>
                <w:sz w:val="20"/>
                <w:szCs w:val="20"/>
              </w:rPr>
              <w:t>Wymagane zespolenie mechaniczne obu podsystemów SPECT</w:t>
            </w:r>
            <w:r w:rsidRPr="00C43122">
              <w:rPr>
                <w:rFonts w:cs="Calibri"/>
                <w:sz w:val="20"/>
                <w:szCs w:val="20"/>
              </w:rPr>
              <w:br/>
              <w:t xml:space="preserve"> i CT. Jedna obudowa dla obu podsystemów.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Wymagana komunikacja z innymi stacjami roboczymi, gamma kamerami i systemem PACS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4"/>
                <w:szCs w:val="24"/>
                <w:u w:val="single"/>
              </w:rPr>
            </w:pPr>
            <w:r w:rsidRPr="00C43122">
              <w:rPr>
                <w:rFonts w:cs="Calibri"/>
                <w:b/>
                <w:sz w:val="24"/>
                <w:szCs w:val="24"/>
                <w:u w:val="single"/>
              </w:rPr>
              <w:t>Aparat nr 1: Gamma kamera SPECT/CT detektorem klasycznym lub detektorem bezpośredniej konwersji promieniowania gamma – szt 1.</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Moduł CT (tomografii komputerowej)</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System przeznaczony do korekcji pochłaniania, lokalizacji anatomicznej  i diagnostyki radiologicznej metodą tomografii komputerowej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Liczba  warstw jednoczesnej akwizycji na poziomie grubości warstwy submilimetrowym, podać liczbę warstw i grubość warstwy w akwizycji spiralnej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16,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566"/>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System powinien umożliwić wykonanie akwizycji spiralnej i aksjalnej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Odległość od ogniska lampy RTG do detektora (cm)  przekładająca się na mniejsze parametry prądowo-napięciowe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xml:space="preserve">≤ </w:t>
            </w:r>
            <w:smartTag w:uri="urn:schemas-microsoft-com:office:smarttags" w:element="metricconverter">
              <w:smartTagPr>
                <w:attr w:name="ProductID" w:val="102 cm"/>
              </w:smartTagPr>
              <w:r w:rsidRPr="00C43122">
                <w:rPr>
                  <w:rFonts w:cs="Calibri"/>
                  <w:sz w:val="20"/>
                  <w:szCs w:val="20"/>
                </w:rPr>
                <w:t>102 cm</w:t>
              </w:r>
            </w:smartTag>
            <w:r w:rsidRPr="00C43122">
              <w:rPr>
                <w:rFonts w:cs="Calibri"/>
                <w:sz w:val="20"/>
                <w:szCs w:val="20"/>
              </w:rPr>
              <w:t>,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 xml:space="preserve">Wartość &lt; </w:t>
            </w:r>
            <w:smartTag w:uri="urn:schemas-microsoft-com:office:smarttags" w:element="metricconverter">
              <w:smartTagPr>
                <w:attr w:name="ProductID" w:val="95 cm"/>
              </w:smartTagPr>
              <w:r w:rsidRPr="00C43122">
                <w:rPr>
                  <w:rFonts w:cs="Calibri"/>
                  <w:sz w:val="20"/>
                  <w:szCs w:val="20"/>
                </w:rPr>
                <w:t>95 cm</w:t>
              </w:r>
            </w:smartTag>
            <w:r w:rsidRPr="00C43122">
              <w:rPr>
                <w:rFonts w:cs="Calibri"/>
                <w:sz w:val="20"/>
                <w:szCs w:val="20"/>
              </w:rPr>
              <w:t xml:space="preserve"> = 1 pkt</w:t>
            </w:r>
          </w:p>
          <w:p w:rsidR="00F40F2E" w:rsidRPr="00C43122" w:rsidRDefault="00F40F2E" w:rsidP="00C43122">
            <w:pPr>
              <w:jc w:val="center"/>
              <w:rPr>
                <w:rFonts w:cs="Calibri"/>
                <w:sz w:val="20"/>
                <w:szCs w:val="20"/>
              </w:rPr>
            </w:pPr>
            <w:r w:rsidRPr="00C43122">
              <w:rPr>
                <w:rFonts w:cs="Calibri"/>
                <w:sz w:val="20"/>
                <w:szCs w:val="20"/>
              </w:rPr>
              <w:t xml:space="preserve">Wartość  </w:t>
            </w:r>
            <w:r w:rsidRPr="00C43122">
              <w:rPr>
                <w:rFonts w:cs="Calibri"/>
                <w:sz w:val="20"/>
                <w:szCs w:val="20"/>
              </w:rPr>
              <w:sym w:font="Symbol" w:char="F0B3"/>
            </w:r>
            <w:r w:rsidRPr="00C43122">
              <w:rPr>
                <w:rFonts w:cs="Calibri"/>
                <w:sz w:val="20"/>
                <w:szCs w:val="20"/>
              </w:rPr>
              <w:t xml:space="preserve"> </w:t>
            </w:r>
            <w:smartTag w:uri="urn:schemas-microsoft-com:office:smarttags" w:element="metricconverter">
              <w:smartTagPr>
                <w:attr w:name="ProductID" w:val="95 cm"/>
              </w:smartTagPr>
              <w:r w:rsidRPr="00C43122">
                <w:rPr>
                  <w:rFonts w:cs="Calibri"/>
                  <w:sz w:val="20"/>
                  <w:szCs w:val="20"/>
                </w:rPr>
                <w:t>95 cm</w:t>
              </w:r>
            </w:smartTag>
            <w:r w:rsidRPr="00C43122">
              <w:rPr>
                <w:rFonts w:cs="Calibri"/>
                <w:sz w:val="20"/>
                <w:szCs w:val="20"/>
              </w:rPr>
              <w:t xml:space="preserv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Wybór napięć lampy RTG co najmniej w zakresie od 80 kV do 130 kV</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Maksymalny prąd anodowy lampy RTG (mA)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320,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Pojemność cieplna lampy RTG (MHU)</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Moc maksymalna generatora  (kW)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Minimalna grubość warstwy CT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0,625,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Najkrótszy czas obrotu układu lampa rtg-detektor [s]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0,5,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Maksymalny czas trwania ciągłego skanu spiralnego [s]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958"/>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Długość skanu spiralnego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spacing w:after="0" w:line="240" w:lineRule="auto"/>
              <w:jc w:val="center"/>
              <w:rPr>
                <w:rFonts w:cs="Calibri"/>
                <w:sz w:val="20"/>
                <w:szCs w:val="20"/>
              </w:rPr>
            </w:pPr>
            <w:r w:rsidRPr="00C43122">
              <w:rPr>
                <w:rFonts w:cs="Calibri"/>
                <w:sz w:val="20"/>
                <w:szCs w:val="20"/>
              </w:rPr>
              <w:t xml:space="preserve">Długość spiralnego skanu ciągłego CT ≥ </w:t>
            </w:r>
            <w:smartTag w:uri="urn:schemas-microsoft-com:office:smarttags" w:element="metricconverter">
              <w:smartTagPr>
                <w:attr w:name="ProductID" w:val="175 cm"/>
              </w:smartTagPr>
              <w:r w:rsidRPr="00C43122">
                <w:rPr>
                  <w:rFonts w:cs="Calibri"/>
                  <w:sz w:val="20"/>
                  <w:szCs w:val="20"/>
                </w:rPr>
                <w:t>175 cm</w:t>
              </w:r>
            </w:smartTag>
            <w:r w:rsidRPr="00C43122">
              <w:rPr>
                <w:rFonts w:cs="Calibri"/>
                <w:sz w:val="20"/>
                <w:szCs w:val="20"/>
              </w:rPr>
              <w:t xml:space="preserve"> = 1 pkt, </w:t>
            </w:r>
          </w:p>
          <w:p w:rsidR="00F40F2E" w:rsidRPr="00C43122" w:rsidRDefault="00F40F2E" w:rsidP="00C43122">
            <w:pPr>
              <w:spacing w:after="0" w:line="240" w:lineRule="auto"/>
              <w:jc w:val="center"/>
              <w:rPr>
                <w:rFonts w:cs="Calibri"/>
                <w:sz w:val="20"/>
                <w:szCs w:val="20"/>
              </w:rPr>
            </w:pPr>
            <w:r w:rsidRPr="00C43122">
              <w:rPr>
                <w:rFonts w:cs="Calibri"/>
                <w:sz w:val="20"/>
                <w:szCs w:val="20"/>
              </w:rPr>
              <w:t xml:space="preserve">&lt; </w:t>
            </w:r>
            <w:smartTag w:uri="urn:schemas-microsoft-com:office:smarttags" w:element="metricconverter">
              <w:smartTagPr>
                <w:attr w:name="ProductID" w:val="175 cm"/>
              </w:smartTagPr>
              <w:r w:rsidRPr="00C43122">
                <w:rPr>
                  <w:rFonts w:cs="Calibri"/>
                  <w:sz w:val="20"/>
                  <w:szCs w:val="20"/>
                </w:rPr>
                <w:t>175 cm</w:t>
              </w:r>
            </w:smartTag>
            <w:r w:rsidRPr="00C43122">
              <w:rPr>
                <w:rFonts w:cs="Calibri"/>
                <w:sz w:val="20"/>
                <w:szCs w:val="20"/>
              </w:rPr>
              <w:t xml:space="preserve"> = 0 pkt</w:t>
            </w:r>
          </w:p>
        </w:tc>
      </w:tr>
      <w:tr w:rsidR="00F40F2E" w:rsidRPr="00C43122" w:rsidTr="00C43122">
        <w:trPr>
          <w:trHeight w:val="919"/>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Długość skanu przeglądowego (topogram )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pStyle w:val="H-TextFormat"/>
              <w:contextualSpacing/>
              <w:jc w:val="center"/>
              <w:rPr>
                <w:rFonts w:ascii="Calibri" w:hAnsi="Calibri" w:cs="Calibri"/>
                <w:sz w:val="20"/>
                <w:szCs w:val="20"/>
                <w:lang w:val="pl-PL"/>
              </w:rPr>
            </w:pPr>
            <w:r w:rsidRPr="00C43122">
              <w:rPr>
                <w:rFonts w:ascii="Calibri" w:hAnsi="Calibri" w:cs="Calibri"/>
                <w:sz w:val="20"/>
                <w:szCs w:val="20"/>
                <w:lang w:val="pl-PL"/>
              </w:rPr>
              <w:t xml:space="preserve">Długość topogramu wykorzystywanego do modulacji dawki CT  ≥  </w:t>
            </w:r>
            <w:smartTag w:uri="urn:schemas-microsoft-com:office:smarttags" w:element="metricconverter">
              <w:smartTagPr>
                <w:attr w:name="ProductID" w:val="175 cm"/>
              </w:smartTagPr>
              <w:r w:rsidRPr="00C43122">
                <w:rPr>
                  <w:rFonts w:ascii="Calibri" w:hAnsi="Calibri" w:cs="Calibri"/>
                  <w:sz w:val="20"/>
                  <w:szCs w:val="20"/>
                  <w:lang w:val="pl-PL"/>
                </w:rPr>
                <w:t>175 cm</w:t>
              </w:r>
            </w:smartTag>
            <w:r w:rsidRPr="00C43122">
              <w:rPr>
                <w:rFonts w:ascii="Calibri" w:hAnsi="Calibri" w:cs="Calibri"/>
                <w:sz w:val="20"/>
                <w:szCs w:val="20"/>
                <w:lang w:val="pl-PL"/>
              </w:rPr>
              <w:t xml:space="preserve"> = 1 pkt,</w:t>
            </w:r>
          </w:p>
          <w:p w:rsidR="00F40F2E" w:rsidRPr="00C43122" w:rsidRDefault="00F40F2E" w:rsidP="00C43122">
            <w:pPr>
              <w:pStyle w:val="H-TextFormat"/>
              <w:contextualSpacing/>
              <w:jc w:val="center"/>
              <w:rPr>
                <w:rFonts w:ascii="Calibri" w:hAnsi="Calibri" w:cs="Calibri"/>
                <w:sz w:val="20"/>
                <w:szCs w:val="20"/>
              </w:rPr>
            </w:pPr>
            <w:r w:rsidRPr="00C43122">
              <w:rPr>
                <w:rFonts w:ascii="Calibri" w:hAnsi="Calibri" w:cs="Calibri"/>
                <w:sz w:val="20"/>
                <w:szCs w:val="20"/>
                <w:lang w:val="pl-PL"/>
              </w:rPr>
              <w:t xml:space="preserve">&lt; </w:t>
            </w:r>
            <w:smartTag w:uri="urn:schemas-microsoft-com:office:smarttags" w:element="metricconverter">
              <w:smartTagPr>
                <w:attr w:name="ProductID" w:val="175 cm"/>
              </w:smartTagPr>
              <w:r w:rsidRPr="00C43122">
                <w:rPr>
                  <w:rFonts w:ascii="Calibri" w:hAnsi="Calibri" w:cs="Calibri"/>
                  <w:sz w:val="20"/>
                  <w:szCs w:val="20"/>
                  <w:lang w:val="pl-PL"/>
                </w:rPr>
                <w:t>175 cm</w:t>
              </w:r>
            </w:smartTag>
            <w:r w:rsidRPr="00C43122">
              <w:rPr>
                <w:rFonts w:ascii="Calibri" w:hAnsi="Calibri" w:cs="Calibri"/>
                <w:sz w:val="20"/>
                <w:szCs w:val="20"/>
                <w:lang w:val="pl-PL"/>
              </w:rPr>
              <w:t xml:space="preserv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Szerokość skanu przeglądowego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Zakres zmienności pitch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0,625 ÷ 1,675,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Rozdzielczość wysokokontrastowa (przestrzenna), zmierzona w maksymalnym polu akwizycyjnym, przy 2 % MTF [lp/cm]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15,1,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Maksymalna rozdzielczość niskokontrastowa, mierzona dla fantomu CATHPAN o średnicy </w:t>
            </w:r>
            <w:smartTag w:uri="urn:schemas-microsoft-com:office:smarttags" w:element="metricconverter">
              <w:smartTagPr>
                <w:attr w:name="ProductID" w:val="20 cm"/>
              </w:smartTagPr>
              <w:r w:rsidRPr="00C43122">
                <w:rPr>
                  <w:rFonts w:cs="Calibri"/>
                  <w:sz w:val="20"/>
                  <w:szCs w:val="20"/>
                </w:rPr>
                <w:t>20 cm</w:t>
              </w:r>
            </w:smartTag>
            <w:r w:rsidRPr="00C43122">
              <w:rPr>
                <w:rFonts w:cs="Calibri"/>
                <w:sz w:val="20"/>
                <w:szCs w:val="20"/>
              </w:rPr>
              <w:t xml:space="preserve">, przy warstwie </w:t>
            </w:r>
            <w:smartTag w:uri="urn:schemas-microsoft-com:office:smarttags" w:element="metricconverter">
              <w:smartTagPr>
                <w:attr w:name="ProductID" w:val="10 mm"/>
              </w:smartTagPr>
              <w:r w:rsidRPr="00C43122">
                <w:rPr>
                  <w:rFonts w:cs="Calibri"/>
                  <w:sz w:val="20"/>
                  <w:szCs w:val="20"/>
                </w:rPr>
                <w:t>10 mm</w:t>
              </w:r>
            </w:smartTag>
            <w:r w:rsidRPr="00C43122">
              <w:rPr>
                <w:rFonts w:cs="Calibri"/>
                <w:sz w:val="20"/>
                <w:szCs w:val="20"/>
              </w:rPr>
              <w:t xml:space="preserve">, dla różnicy kontrastu 3 HU, napięcia z zakresu 130-140 kV, mierzona w polu akwizycyjnym </w:t>
            </w:r>
            <w:smartTag w:uri="urn:schemas-microsoft-com:office:smarttags" w:element="metricconverter">
              <w:smartTagPr>
                <w:attr w:name="ProductID" w:val="50 cm"/>
              </w:smartTagPr>
              <w:r w:rsidRPr="00C43122">
                <w:rPr>
                  <w:rFonts w:cs="Calibri"/>
                  <w:sz w:val="20"/>
                  <w:szCs w:val="20"/>
                </w:rPr>
                <w:t>50 cm</w:t>
              </w:r>
            </w:smartTag>
            <w:r w:rsidRPr="00C43122">
              <w:rPr>
                <w:rFonts w:cs="Calibri"/>
                <w:sz w:val="20"/>
                <w:szCs w:val="20"/>
              </w:rPr>
              <w:t>,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Diagnostyczne pole widzenia modu</w:t>
            </w:r>
            <w:r w:rsidRPr="00C43122">
              <w:rPr>
                <w:rFonts w:eastAsia="TimesNewRoman" w:cs="Calibri"/>
                <w:sz w:val="20"/>
                <w:szCs w:val="20"/>
              </w:rPr>
              <w:t>ł</w:t>
            </w:r>
            <w:r w:rsidRPr="00C43122">
              <w:rPr>
                <w:rFonts w:cs="Calibri"/>
                <w:sz w:val="20"/>
                <w:szCs w:val="20"/>
              </w:rPr>
              <w:t xml:space="preserve">u CT min. </w:t>
            </w:r>
            <w:smartTag w:uri="urn:schemas-microsoft-com:office:smarttags" w:element="metricconverter">
              <w:smartTagPr>
                <w:attr w:name="ProductID" w:val="50 cm"/>
              </w:smartTagPr>
              <w:r w:rsidRPr="00C43122">
                <w:rPr>
                  <w:rFonts w:cs="Calibri"/>
                  <w:sz w:val="20"/>
                  <w:szCs w:val="20"/>
                </w:rPr>
                <w:t>50 cm</w:t>
              </w:r>
            </w:smartTag>
            <w:r w:rsidRPr="00C43122">
              <w:rPr>
                <w:rFonts w:cs="Calibri"/>
                <w:sz w:val="20"/>
                <w:szCs w:val="20"/>
              </w:rPr>
              <w:t xml:space="preserve"> z mo</w:t>
            </w:r>
            <w:r w:rsidRPr="00C43122">
              <w:rPr>
                <w:rFonts w:eastAsia="TimesNewRoman" w:cs="Calibri"/>
                <w:sz w:val="20"/>
                <w:szCs w:val="20"/>
              </w:rPr>
              <w:t>ż</w:t>
            </w:r>
            <w:r w:rsidRPr="00C43122">
              <w:rPr>
                <w:rFonts w:cs="Calibri"/>
                <w:sz w:val="20"/>
                <w:szCs w:val="20"/>
              </w:rPr>
              <w:t>liwo</w:t>
            </w:r>
            <w:r w:rsidRPr="00C43122">
              <w:rPr>
                <w:rFonts w:eastAsia="TimesNewRoman" w:cs="Calibri"/>
                <w:sz w:val="20"/>
                <w:szCs w:val="20"/>
              </w:rPr>
              <w:t>ś</w:t>
            </w:r>
            <w:r w:rsidRPr="00C43122">
              <w:rPr>
                <w:rFonts w:cs="Calibri"/>
                <w:sz w:val="20"/>
                <w:szCs w:val="20"/>
              </w:rPr>
              <w:t>ci</w:t>
            </w:r>
            <w:r w:rsidRPr="00C43122">
              <w:rPr>
                <w:rFonts w:eastAsia="TimesNewRoman" w:cs="Calibri"/>
                <w:sz w:val="20"/>
                <w:szCs w:val="20"/>
              </w:rPr>
              <w:t xml:space="preserve">ą </w:t>
            </w:r>
            <w:r w:rsidRPr="00C43122">
              <w:rPr>
                <w:rFonts w:cs="Calibri"/>
                <w:sz w:val="20"/>
                <w:szCs w:val="20"/>
              </w:rPr>
              <w:t xml:space="preserve">rozszerzenia w przypadku korekcji atentacji oraz lokalizacji anatomicznej do min. </w:t>
            </w:r>
            <w:smartTag w:uri="urn:schemas-microsoft-com:office:smarttags" w:element="metricconverter">
              <w:smartTagPr>
                <w:attr w:name="ProductID" w:val="70 cm"/>
              </w:smartTagPr>
              <w:r w:rsidRPr="00C43122">
                <w:rPr>
                  <w:rFonts w:cs="Calibri"/>
                  <w:sz w:val="20"/>
                  <w:szCs w:val="20"/>
                </w:rPr>
                <w:t>70 cm</w:t>
              </w:r>
            </w:smartTag>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 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Osiowe pole widzenia skanu transmisyjnego przy pojedynczym obrocie lampy rentgenowskiej w orbicie 360° bez przesuwu sto</w:t>
            </w:r>
            <w:r w:rsidRPr="00C43122">
              <w:rPr>
                <w:rFonts w:eastAsia="TimesNewRoman" w:cs="Calibri"/>
                <w:sz w:val="20"/>
                <w:szCs w:val="20"/>
              </w:rPr>
              <w:t>ł</w:t>
            </w:r>
            <w:r w:rsidRPr="00C43122">
              <w:rPr>
                <w:rFonts w:cs="Calibri"/>
                <w:sz w:val="20"/>
                <w:szCs w:val="20"/>
              </w:rPr>
              <w:t>u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Minimalna grubo</w:t>
            </w:r>
            <w:r w:rsidRPr="00C43122">
              <w:rPr>
                <w:rFonts w:eastAsia="TimesNewRoman" w:cs="Calibri"/>
                <w:sz w:val="20"/>
                <w:szCs w:val="20"/>
              </w:rPr>
              <w:t xml:space="preserve">ść </w:t>
            </w:r>
            <w:r w:rsidRPr="00C43122">
              <w:rPr>
                <w:rFonts w:cs="Calibri"/>
                <w:sz w:val="20"/>
                <w:szCs w:val="20"/>
              </w:rPr>
              <w:t>przekroju uzyskanego ze skanu transmisyjnego przy pojedynczym obrocie lampy rentgenowskiej w orbicie 360° przy akwizycji 16 warstwowej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najmniejsza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310618">
            <w:pPr>
              <w:rPr>
                <w:rFonts w:cs="Calibri"/>
                <w:sz w:val="20"/>
                <w:szCs w:val="20"/>
              </w:rPr>
            </w:pPr>
            <w:r w:rsidRPr="00C43122">
              <w:rPr>
                <w:rFonts w:cs="Calibri"/>
                <w:sz w:val="20"/>
                <w:szCs w:val="20"/>
              </w:rPr>
              <w:t xml:space="preserve">Algorytm iteracyjny służący do usuwania na obrazach TK artefaktów pochodzenia odmetalowego – od endoprotez i implantów, służący jednocześnie do korekcji pochłaniania. Podać nazwę licencji/oprogramowania algorytmu na skanerze do usuwania </w:t>
            </w:r>
            <w:r w:rsidRPr="00C43122">
              <w:rPr>
                <w:rFonts w:cs="Calibri"/>
                <w:sz w:val="20"/>
                <w:szCs w:val="20"/>
              </w:rPr>
              <w:lastRenderedPageBreak/>
              <w:t xml:space="preserve">artefaktów i do AC.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 xml:space="preserve">Algorytm działający w poszerzonym polu widzenia i do AC = </w:t>
            </w:r>
            <w:smartTag w:uri="urn:schemas-microsoft-com:office:smarttags" w:element="metricconverter">
              <w:smartTagPr>
                <w:attr w:name="ProductID" w:val="24 cale"/>
              </w:smartTagPr>
              <w:r w:rsidRPr="00C43122">
                <w:rPr>
                  <w:rFonts w:cs="Calibri"/>
                  <w:sz w:val="20"/>
                  <w:szCs w:val="20"/>
                </w:rPr>
                <w:t>70 cm</w:t>
              </w:r>
            </w:smartTag>
            <w:r w:rsidRPr="00C43122">
              <w:rPr>
                <w:rFonts w:cs="Calibri"/>
                <w:sz w:val="20"/>
                <w:szCs w:val="20"/>
              </w:rPr>
              <w:t xml:space="preserve">  – 1 pkt</w:t>
            </w:r>
          </w:p>
          <w:p w:rsidR="00F40F2E" w:rsidRPr="00C43122" w:rsidRDefault="00F40F2E" w:rsidP="00C43122">
            <w:pPr>
              <w:jc w:val="center"/>
              <w:rPr>
                <w:rFonts w:cs="Calibri"/>
                <w:sz w:val="20"/>
                <w:szCs w:val="20"/>
              </w:rPr>
            </w:pPr>
            <w:r w:rsidRPr="00C43122">
              <w:rPr>
                <w:rFonts w:cs="Calibri"/>
                <w:sz w:val="20"/>
                <w:szCs w:val="20"/>
              </w:rPr>
              <w:lastRenderedPageBreak/>
              <w:t xml:space="preserve">Algorytm działający w </w:t>
            </w:r>
            <w:smartTag w:uri="urn:schemas-microsoft-com:office:smarttags" w:element="metricconverter">
              <w:smartTagPr>
                <w:attr w:name="ProductID" w:val="24 cale"/>
              </w:smartTagPr>
              <w:r w:rsidRPr="00C43122">
                <w:rPr>
                  <w:rFonts w:cs="Calibri"/>
                  <w:sz w:val="20"/>
                  <w:szCs w:val="20"/>
                </w:rPr>
                <w:t>50 cm</w:t>
              </w:r>
            </w:smartTag>
            <w:r w:rsidRPr="00C43122">
              <w:rPr>
                <w:rFonts w:cs="Calibri"/>
                <w:sz w:val="20"/>
                <w:szCs w:val="20"/>
              </w:rPr>
              <w:t xml:space="preserve"> polu widzenia i do AC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przeprowadzania wielokrotnych rekonstrukcji obrazu i reformatowania -  równolegle do skanowania. Możliwość wprowadzenia do protokołu skanowania wczytania do min. 8 zadań rekonstrukcji. Zadania te są wykonywane automatycznie w tle, bez konieczności opóźniania rozpoczęcia badania kolejnego pacjenta. Podać nazwę narzędzia, licencji i opisać działanie i liczbę realizowanych zadań rekonstrukcji.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Opisać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Moduł SPECT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System wyposażony w dwie głowice</w:t>
            </w:r>
          </w:p>
          <w:p w:rsidR="00F40F2E" w:rsidRPr="00C43122" w:rsidRDefault="00F40F2E" w:rsidP="005629EB">
            <w:pPr>
              <w:rPr>
                <w:rFonts w:cs="Calibri"/>
                <w:sz w:val="20"/>
                <w:szCs w:val="20"/>
              </w:rPr>
            </w:pPr>
            <w:r w:rsidRPr="00C43122">
              <w:rPr>
                <w:rFonts w:cs="Calibri"/>
                <w:sz w:val="20"/>
                <w:szCs w:val="20"/>
              </w:rPr>
              <w:t>W technologii klasycznej konwersji promieniowania gamma, pozwalająca na wykonywanie badań diagnostycznych: planarnych statycznych, planarnych bramkowanych, planarnych dynamicznych, planarnych techniką całego ciała, bramkowanych SPECT, SPECT/CT</w:t>
            </w:r>
          </w:p>
          <w:p w:rsidR="00F40F2E" w:rsidRPr="00C43122" w:rsidRDefault="00F40F2E" w:rsidP="005629EB">
            <w:pPr>
              <w:rPr>
                <w:rFonts w:cs="Calibri"/>
                <w:sz w:val="20"/>
                <w:szCs w:val="20"/>
              </w:rPr>
            </w:pPr>
            <w:r w:rsidRPr="00C43122">
              <w:rPr>
                <w:rFonts w:cs="Calibri"/>
                <w:sz w:val="20"/>
                <w:szCs w:val="20"/>
              </w:rPr>
              <w:t>lub w technologii detektora bezpośredniej konwersji promieniowania gamma (CZT, CdZnTe) na sygnał elektryczny pozwalająca na wykonywanie badań diagnostycznych: planarnych statycznych, planarnych bramkowanych, planarnych dynamicznych, planarnych techniką całego ciała, SPECT, bramkowanych SPECT, SPECT/CT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 Opisać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Gamma kamera z technologią bezpośredniej konwersji (CZT) (1 szt) = 100 pkt.</w:t>
            </w:r>
          </w:p>
          <w:p w:rsidR="00F40F2E" w:rsidRPr="00C43122" w:rsidRDefault="00F40F2E" w:rsidP="00C43122">
            <w:pPr>
              <w:jc w:val="center"/>
              <w:rPr>
                <w:rFonts w:cs="Calibri"/>
                <w:sz w:val="20"/>
                <w:szCs w:val="20"/>
              </w:rPr>
            </w:pPr>
            <w:r w:rsidRPr="00C43122">
              <w:rPr>
                <w:rFonts w:cs="Calibri"/>
                <w:sz w:val="20"/>
                <w:szCs w:val="20"/>
              </w:rPr>
              <w:t>Gammakamery oparte na fotopowielaczach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W przypadku klasycznej metody – kryształy scyntylacyjne gammakamery o grubości 3/8 cala; minimalna liczba fotopowielaczy w każdym z detektorów 59.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Grubość materiału CZT minimum 5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lastRenderedPageBreak/>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Zmienna geometria detektorów – sterowana automatycznie - do badań kardiologicznych oraz badań pacjenta na łóżku szpitalnym (wymagane jest ustawienie, w którym obie głowice znajdują się w jednej płaszczyźnie i umożliwiają jednoczesne obrazowanie nad ciałem pacjenta leżącego na standardowym łóżku szpitalnym) oraz obrazowanie w pozycjach: siedzącej, stojącej (min. 0º, 90º, 180º)</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p w:rsidR="00F40F2E" w:rsidRPr="00C43122" w:rsidRDefault="00F40F2E" w:rsidP="00C43122">
            <w:pPr>
              <w:jc w:val="center"/>
              <w:rPr>
                <w:rFonts w:cs="Calibri"/>
                <w:sz w:val="20"/>
                <w:szCs w:val="20"/>
              </w:rPr>
            </w:pP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pochylenia przynajmniej jednego detektora gamma kamery wzdłuż osi łóżka (określane jako: caudal tilt lub cephalic tilt), realizacja dla pacjenta ułożonego na stole skanera.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1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Jeden monitor podglądu dostępny z obu stron gantry (bez konieczności demontażu) na rotującym długim wysięgniku, prezentujący między innymi:</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podgląd obrazu z obu detektorów,</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parametry pozycji gantry,</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parametry pozycji detektorów,</w:t>
            </w:r>
          </w:p>
          <w:p w:rsidR="00F40F2E" w:rsidRPr="00C43122" w:rsidRDefault="00F40F2E" w:rsidP="00C43122">
            <w:pPr>
              <w:pStyle w:val="Stopka"/>
              <w:numPr>
                <w:ilvl w:val="0"/>
                <w:numId w:val="2"/>
              </w:numPr>
              <w:tabs>
                <w:tab w:val="clear" w:pos="1077"/>
                <w:tab w:val="clear" w:pos="4536"/>
                <w:tab w:val="clear" w:pos="9072"/>
                <w:tab w:val="num" w:pos="363"/>
              </w:tabs>
              <w:suppressAutoHyphens/>
              <w:spacing w:line="276" w:lineRule="auto"/>
              <w:ind w:left="363" w:hanging="363"/>
              <w:contextualSpacing/>
              <w:rPr>
                <w:rFonts w:ascii="Calibri" w:hAnsi="Calibri" w:cs="Calibri"/>
                <w:lang w:eastAsia="en-US"/>
              </w:rPr>
            </w:pPr>
            <w:r w:rsidRPr="00C43122">
              <w:rPr>
                <w:rFonts w:ascii="Calibri" w:hAnsi="Calibri" w:cs="Calibri"/>
                <w:lang w:eastAsia="en-US"/>
              </w:rPr>
              <w:t>parametry pozycji stołu,</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typ zainstalowanego kolimatora.</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0"/>
                <w:szCs w:val="20"/>
                <w:lang w:eastAsia="pl-PL"/>
              </w:rPr>
            </w:pPr>
            <w:r w:rsidRPr="00C43122">
              <w:rPr>
                <w:rFonts w:cs="Calibri"/>
                <w:sz w:val="20"/>
                <w:szCs w:val="20"/>
                <w:lang w:eastAsia="pl-PL"/>
              </w:rPr>
              <w:t>Możliwość prezentacja parametrów ilościowych w badaniach SPECT/CT w postaci SUV (Standard Uptake Value). Kalibracja za pomocą źródeł przygotowanych przez użytkownika  dla 99mTc, 131-I, 123-I, 111Ind, 177Lu</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jc w:val="both"/>
              <w:rPr>
                <w:rFonts w:cs="Calibri"/>
                <w:sz w:val="20"/>
                <w:szCs w:val="20"/>
                <w:lang w:eastAsia="pl-PL"/>
              </w:rPr>
            </w:pPr>
            <w:r w:rsidRPr="00C43122">
              <w:rPr>
                <w:rFonts w:cs="Calibri"/>
                <w:sz w:val="20"/>
                <w:szCs w:val="20"/>
                <w:lang w:eastAsia="pl-PL"/>
              </w:rPr>
              <w:t>Kalibracja za pomocą zamkniętych źródeł NIST lub równoważnych zgodnie z nomenklatura producenta, dedykowanych dla badań z  99mTc i 177Lu</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 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Akwizycja obrazów SPECT/CT dla martycy SPECT 256x256 wraz z dedykowaną rekonstrukcją tych danych.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wykonania badań kardiologicznych planarnych, SPECT i SPECT/CT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wykonania badań SPECT i SPECT/CT w trybie wielołóżkowym (min. 3 SPECT).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akwizycji danych niezbędnych do korekcji rozproszenia (scatter correction) min. dal 99mTc,131I, 123I, 111In, 67Ga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jednoczesnej akwizycji z min. 6 okien energetycznych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Możliwości założenia na detektory i przeprowadzania prawidłowej akwizycji na kolimatorach minimum: niskoenergetycznych wysokorozdzielczych, średnioenergetycznych, wysokoenergetycznych, typu pinhole,</w:t>
            </w:r>
          </w:p>
          <w:p w:rsidR="00F40F2E" w:rsidRPr="00C43122" w:rsidRDefault="00F40F2E" w:rsidP="005629EB">
            <w:pPr>
              <w:rPr>
                <w:rFonts w:cs="Calibri"/>
                <w:sz w:val="20"/>
                <w:szCs w:val="20"/>
              </w:rPr>
            </w:pPr>
            <w:r w:rsidRPr="00C43122">
              <w:rPr>
                <w:rFonts w:cs="Calibri"/>
                <w:sz w:val="20"/>
                <w:szCs w:val="20"/>
                <w:lang w:eastAsia="pl-PL"/>
              </w:rPr>
              <w:t xml:space="preserve">(dotyczy tylko </w:t>
            </w:r>
            <w:r w:rsidRPr="00C43122">
              <w:rPr>
                <w:rFonts w:cs="Calibri"/>
                <w:sz w:val="20"/>
                <w:szCs w:val="20"/>
              </w:rPr>
              <w:t>przypadku technologii kamery klasycznej)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Wymiary pola widzenia detektora [FOV]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51 x 39,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996"/>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Zakres dostępnych energii (keV)</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xml:space="preserve">Gammakamera klasyczna:    </w:t>
            </w:r>
            <w:r w:rsidRPr="00C43122">
              <w:rPr>
                <w:rFonts w:cs="Calibri"/>
                <w:sz w:val="20"/>
                <w:szCs w:val="20"/>
              </w:rPr>
              <w:sym w:font="Symbol" w:char="F0B3"/>
            </w:r>
            <w:r w:rsidRPr="00C43122">
              <w:rPr>
                <w:rFonts w:cs="Calibri"/>
                <w:sz w:val="20"/>
                <w:szCs w:val="20"/>
              </w:rPr>
              <w:t xml:space="preserve"> 40 - 600, podać</w:t>
            </w:r>
          </w:p>
          <w:p w:rsidR="00F40F2E" w:rsidRPr="00C43122" w:rsidRDefault="00F40F2E" w:rsidP="00C43122">
            <w:pPr>
              <w:jc w:val="center"/>
              <w:rPr>
                <w:rFonts w:cs="Calibri"/>
                <w:sz w:val="20"/>
                <w:szCs w:val="20"/>
              </w:rPr>
            </w:pPr>
            <w:r w:rsidRPr="00C43122">
              <w:rPr>
                <w:rFonts w:cs="Calibri"/>
                <w:sz w:val="20"/>
                <w:szCs w:val="20"/>
              </w:rPr>
              <w:t xml:space="preserve">Gammakamera CZT:             </w:t>
            </w:r>
            <w:r w:rsidRPr="00C43122">
              <w:rPr>
                <w:rFonts w:cs="Calibri"/>
                <w:sz w:val="20"/>
                <w:szCs w:val="20"/>
              </w:rPr>
              <w:sym w:font="Symbol" w:char="F0B3"/>
            </w:r>
            <w:r w:rsidRPr="00C43122">
              <w:rPr>
                <w:rFonts w:cs="Calibri"/>
                <w:sz w:val="20"/>
                <w:szCs w:val="20"/>
              </w:rPr>
              <w:t xml:space="preserve"> 40 - 170,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tabs>
                <w:tab w:val="center" w:pos="6889"/>
                <w:tab w:val="left" w:pos="8455"/>
              </w:tabs>
              <w:ind w:hanging="720"/>
              <w:rPr>
                <w:rFonts w:cs="Calibri"/>
                <w:b/>
                <w:sz w:val="20"/>
                <w:szCs w:val="20"/>
              </w:rPr>
            </w:pPr>
            <w:r w:rsidRPr="00C43122">
              <w:rPr>
                <w:rFonts w:cs="Calibri"/>
                <w:b/>
                <w:sz w:val="20"/>
                <w:szCs w:val="20"/>
              </w:rPr>
              <w:t>Parametry detektorów w przypadku technologii kamery CZT</w:t>
            </w:r>
          </w:p>
        </w:tc>
      </w:tr>
      <w:tr w:rsidR="00F40F2E" w:rsidRPr="00C43122" w:rsidTr="00C43122">
        <w:tc>
          <w:tcPr>
            <w:tcW w:w="15026" w:type="dxa"/>
            <w:gridSpan w:val="5"/>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lastRenderedPageBreak/>
              <w:t>Wewnętrzna jednorodność</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Różniczkowa, UFOV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2,3,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Całkowa, UFOV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3,6,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Wewnętrzna rozdzielczość energetyczna  [%] umożliwiająca badania dwu i wieloizotopowe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6,5,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Wewnętrzna rozdzielczość przestrzenna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2,5,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Parametry detektorów w przypadku technologii gammakamery kamery klasycznej</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geometryczna zdolność rozdzielcza (rozdzielczość przestrzenna) wg standardu NEMA):</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C43122">
              <w:rPr>
                <w:rFonts w:cs="Calibri"/>
                <w:sz w:val="20"/>
                <w:szCs w:val="20"/>
              </w:rPr>
              <w:t>FWHM (UFOV</w:t>
            </w:r>
            <w:r w:rsidRPr="00C43122">
              <w:rPr>
                <w:rFonts w:cs="Calibri"/>
                <w:sz w:val="20"/>
                <w:szCs w:val="20"/>
                <w:lang w:val="en-US"/>
              </w:rPr>
              <w:t>) ≤ 4,0</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C43122">
              <w:rPr>
                <w:rFonts w:cs="Calibri"/>
                <w:sz w:val="20"/>
                <w:szCs w:val="20"/>
                <w:lang w:val="en-US"/>
              </w:rPr>
              <w:t>FWTM (UFOV) ≤ 8,0</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rPr>
            </w:pPr>
            <w:r w:rsidRPr="00C43122">
              <w:rPr>
                <w:rFonts w:cs="Calibri"/>
                <w:sz w:val="20"/>
                <w:szCs w:val="20"/>
                <w:lang w:val="en-US"/>
              </w:rPr>
              <w:t>FWHM (CFOV) ≤ 4,0</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C43122">
              <w:rPr>
                <w:rFonts w:cs="Calibri"/>
                <w:sz w:val="20"/>
                <w:szCs w:val="20"/>
                <w:lang w:val="en-US"/>
              </w:rPr>
              <w:t xml:space="preserve">FWTM (CFOV) </w:t>
            </w:r>
            <w:r w:rsidRPr="00C43122">
              <w:rPr>
                <w:rFonts w:cs="Calibri"/>
                <w:sz w:val="20"/>
                <w:szCs w:val="20"/>
              </w:rPr>
              <w:t>≤ 8,0</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jednorodność pola, nieskorygowana (wg standardu NEMA):</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lang w:val="en-US"/>
              </w:rPr>
            </w:pPr>
            <w:r w:rsidRPr="00C43122">
              <w:rPr>
                <w:rFonts w:cs="Calibri"/>
                <w:sz w:val="20"/>
                <w:szCs w:val="20"/>
                <w:lang w:val="en-US"/>
              </w:rPr>
              <w:t>różniczkowa (UFOV) ≤ 3,0%</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rPr>
            </w:pPr>
            <w:r w:rsidRPr="00C43122">
              <w:rPr>
                <w:rFonts w:cs="Calibri"/>
                <w:sz w:val="20"/>
                <w:szCs w:val="20"/>
              </w:rPr>
              <w:t>całkowita (UFOV) ≤ 4,0%</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rPr>
            </w:pPr>
            <w:r w:rsidRPr="00C43122">
              <w:rPr>
                <w:rFonts w:cs="Calibri"/>
                <w:sz w:val="20"/>
                <w:szCs w:val="20"/>
              </w:rPr>
              <w:t>różniczkowa (CFOV) ≤ 2,5%</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rPr>
            </w:pPr>
            <w:r w:rsidRPr="00C43122">
              <w:rPr>
                <w:rFonts w:cs="Calibri"/>
                <w:sz w:val="20"/>
                <w:szCs w:val="20"/>
              </w:rPr>
              <w:t>całkowita (CFOV) ≤ 3,0%</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liniowość przestrzenna („Intrinsic Spatial Linearity”):</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r w:rsidRPr="00C43122">
              <w:rPr>
                <w:rFonts w:cs="Calibri"/>
                <w:sz w:val="20"/>
                <w:szCs w:val="20"/>
                <w:lang w:val="en-US"/>
              </w:rPr>
              <w:lastRenderedPageBreak/>
              <w:t>różniczkowa (CFOV) ≤ 0,2 mm</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r w:rsidRPr="00C43122">
              <w:rPr>
                <w:rFonts w:cs="Calibri"/>
                <w:sz w:val="20"/>
                <w:szCs w:val="20"/>
                <w:lang w:val="en-US"/>
              </w:rPr>
              <w:t>całkowita (CFOV) ≤ 0,5 mm</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r w:rsidRPr="00C43122">
              <w:rPr>
                <w:rFonts w:cs="Calibri"/>
                <w:sz w:val="20"/>
                <w:szCs w:val="20"/>
                <w:lang w:val="en-US"/>
              </w:rPr>
              <w:t>różniczkowa (UFOV) ≤ 0,2 mm</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r w:rsidRPr="00C43122">
              <w:rPr>
                <w:rFonts w:cs="Calibri"/>
                <w:sz w:val="20"/>
                <w:szCs w:val="20"/>
                <w:lang w:val="en-US"/>
              </w:rPr>
              <w:t>całkowita (UFOV) ≤ 0,7 mm</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lastRenderedPageBreak/>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Wewnętrzna energetyczna zdolność rozdzielcza</w:t>
            </w:r>
          </w:p>
          <w:p w:rsidR="00F40F2E" w:rsidRPr="00C43122" w:rsidRDefault="00F40F2E" w:rsidP="005629EB">
            <w:pPr>
              <w:rPr>
                <w:rFonts w:cs="Calibri"/>
                <w:sz w:val="20"/>
                <w:szCs w:val="20"/>
              </w:rPr>
            </w:pPr>
            <w:r w:rsidRPr="00C43122">
              <w:rPr>
                <w:rFonts w:cs="Calibri"/>
                <w:sz w:val="20"/>
                <w:szCs w:val="20"/>
              </w:rPr>
              <w:t>wg standardu NEMA: ≤ 10 %.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Rozdzielczość przestrzenna SPECT po rekonstrukcji iteracyjnej (np. Evolution for Bone, Flash3D, itp.) z rozproszeniem (kolimatory LEHR):</w:t>
            </w:r>
          </w:p>
          <w:p w:rsidR="00F40F2E" w:rsidRPr="00C43122" w:rsidRDefault="00F40F2E" w:rsidP="00C43122">
            <w:pPr>
              <w:ind w:left="397" w:hanging="170"/>
              <w:contextualSpacing/>
              <w:rPr>
                <w:rFonts w:cs="Calibri"/>
                <w:sz w:val="20"/>
                <w:szCs w:val="20"/>
              </w:rPr>
            </w:pPr>
            <w:r w:rsidRPr="00C43122">
              <w:rPr>
                <w:rFonts w:cs="Calibri"/>
                <w:sz w:val="20"/>
                <w:szCs w:val="20"/>
              </w:rPr>
              <w:t>centralna ≤ 6,5 mm,</w:t>
            </w:r>
          </w:p>
          <w:p w:rsidR="00F40F2E" w:rsidRPr="00C43122" w:rsidRDefault="00F40F2E" w:rsidP="00C43122">
            <w:pPr>
              <w:ind w:left="397" w:hanging="170"/>
              <w:contextualSpacing/>
              <w:rPr>
                <w:rFonts w:cs="Calibri"/>
                <w:sz w:val="20"/>
                <w:szCs w:val="20"/>
              </w:rPr>
            </w:pPr>
            <w:r w:rsidRPr="00C43122">
              <w:rPr>
                <w:rFonts w:cs="Calibri"/>
                <w:sz w:val="20"/>
                <w:szCs w:val="20"/>
              </w:rPr>
              <w:t>promieniowa ≤ 5,8 mm,</w:t>
            </w:r>
          </w:p>
          <w:p w:rsidR="00F40F2E" w:rsidRPr="00C43122" w:rsidRDefault="00F40F2E" w:rsidP="005629EB">
            <w:pPr>
              <w:rPr>
                <w:rFonts w:cs="Calibri"/>
                <w:sz w:val="20"/>
                <w:szCs w:val="20"/>
              </w:rPr>
            </w:pPr>
            <w:r w:rsidRPr="00C43122">
              <w:rPr>
                <w:rFonts w:cs="Calibri"/>
                <w:sz w:val="20"/>
                <w:szCs w:val="20"/>
              </w:rPr>
              <w:t>styczna ≤  5,2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nazwę oprogramowania i wartości w mm</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Kolimatory</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Kolimacja promieniowania (sposób rejestracji kolimatorów z matrycą detektora CZT) – dotyczy tylko technologii CZT</w:t>
            </w:r>
          </w:p>
        </w:tc>
        <w:tc>
          <w:tcPr>
            <w:tcW w:w="1975" w:type="dxa"/>
            <w:vAlign w:val="center"/>
          </w:tcPr>
          <w:p w:rsidR="00F40F2E" w:rsidRPr="00C43122" w:rsidRDefault="00F40F2E" w:rsidP="00C43122">
            <w:pPr>
              <w:jc w:val="cente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Zabezpieczenia pacjenta przed zetknięciem się z elementami konstrukcyjnymi podczas wzajemnego ruchu (czujniki kolizji, sposób zabezpieczenia)</w:t>
            </w:r>
          </w:p>
        </w:tc>
        <w:tc>
          <w:tcPr>
            <w:tcW w:w="1975" w:type="dxa"/>
            <w:vAlign w:val="center"/>
          </w:tcPr>
          <w:p w:rsidR="00F40F2E" w:rsidRPr="00C43122" w:rsidRDefault="00F40F2E" w:rsidP="00C43122">
            <w:pPr>
              <w:jc w:val="cente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Kolimatory szerokiego zakresu energii wysokiej rozdzielczości (para) – dotyczy tylko technologii CZT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lang w:eastAsia="pl-PL"/>
              </w:rPr>
            </w:pPr>
            <w:r w:rsidRPr="00C43122">
              <w:rPr>
                <w:rFonts w:cs="Calibri"/>
                <w:sz w:val="20"/>
                <w:szCs w:val="20"/>
              </w:rPr>
              <w:t xml:space="preserve">Kolimatory  niskoenergetyczne, wysokiej rozdzielczości do np. 99mTc, typu: LEHR/LEHRS lub równoważne zgodnie z nomenklatura producenta (podać właściwą nazwę)  o czułości systemowej &gt; 200  cpm/µCi @ 10 cm (pomiary wg standardów NEMA z max.tolerancji  10%)  z minimalną </w:t>
            </w:r>
            <w:r w:rsidRPr="00C43122">
              <w:rPr>
                <w:rFonts w:cs="Calibri"/>
                <w:sz w:val="20"/>
                <w:szCs w:val="20"/>
              </w:rPr>
              <w:lastRenderedPageBreak/>
              <w:t>rozdzielczością systemową przy 10cm ≤7,5 mm) - 2 szt. (po jednej sztuce do każdego z</w:t>
            </w:r>
            <w:r w:rsidRPr="00C43122">
              <w:rPr>
                <w:rFonts w:cs="Calibri"/>
                <w:sz w:val="20"/>
                <w:szCs w:val="20"/>
                <w:lang w:eastAsia="pl-PL"/>
              </w:rPr>
              <w:t xml:space="preserve"> detektorów)</w:t>
            </w:r>
          </w:p>
          <w:p w:rsidR="00F40F2E" w:rsidRPr="00C43122" w:rsidRDefault="00F40F2E" w:rsidP="005629EB">
            <w:pPr>
              <w:rPr>
                <w:rFonts w:cs="Calibri"/>
                <w:sz w:val="20"/>
                <w:szCs w:val="20"/>
              </w:rPr>
            </w:pPr>
            <w:r w:rsidRPr="00C43122">
              <w:rPr>
                <w:rFonts w:cs="Calibri"/>
                <w:sz w:val="20"/>
                <w:szCs w:val="20"/>
                <w:lang w:eastAsia="pl-PL"/>
              </w:rPr>
              <w:t xml:space="preserve">(dotyczy tylko </w:t>
            </w:r>
            <w:r w:rsidRPr="00C43122">
              <w:rPr>
                <w:rFonts w:cs="Calibri"/>
                <w:sz w:val="20"/>
                <w:szCs w:val="20"/>
              </w:rPr>
              <w:t>przypadku technologii kamery klasycznej)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p w:rsidR="00F40F2E" w:rsidRPr="00C43122" w:rsidRDefault="00F40F2E" w:rsidP="00C43122">
            <w:pPr>
              <w:jc w:val="center"/>
              <w:rPr>
                <w:rFonts w:cs="Calibri"/>
                <w:sz w:val="20"/>
                <w:szCs w:val="20"/>
              </w:rPr>
            </w:pPr>
            <w:r w:rsidRPr="00C43122">
              <w:rPr>
                <w:rFonts w:cs="Calibri"/>
                <w:sz w:val="20"/>
                <w:szCs w:val="20"/>
              </w:rPr>
              <w:t xml:space="preserve">podać nazwę własną, wartość czułości i </w:t>
            </w:r>
            <w:r w:rsidRPr="00C43122">
              <w:rPr>
                <w:rFonts w:cs="Calibri"/>
                <w:sz w:val="20"/>
                <w:szCs w:val="20"/>
              </w:rPr>
              <w:lastRenderedPageBreak/>
              <w:t>rozdzielczości</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Kolimatory średnioenergetyczne do np. 111In o czułości systemowej  &gt; 140cpm/µCi @ 10 cm (pomiary wg standardów NEMA z max.tolerancji  4%)</w:t>
            </w:r>
          </w:p>
          <w:p w:rsidR="00F40F2E" w:rsidRPr="00C43122" w:rsidRDefault="00F40F2E" w:rsidP="005629EB">
            <w:pPr>
              <w:rPr>
                <w:rFonts w:cs="Calibri"/>
                <w:sz w:val="20"/>
                <w:szCs w:val="20"/>
                <w:lang w:eastAsia="pl-PL"/>
              </w:rPr>
            </w:pPr>
            <w:r w:rsidRPr="00C43122">
              <w:rPr>
                <w:rFonts w:cs="Calibri"/>
                <w:sz w:val="20"/>
                <w:szCs w:val="20"/>
              </w:rPr>
              <w:t>- 2 szt. (po jednej sztuce do każdego z</w:t>
            </w:r>
            <w:r w:rsidRPr="00C43122">
              <w:rPr>
                <w:rFonts w:cs="Calibri"/>
                <w:sz w:val="20"/>
                <w:szCs w:val="20"/>
                <w:lang w:eastAsia="pl-PL"/>
              </w:rPr>
              <w:t xml:space="preserve"> detektorów)</w:t>
            </w:r>
          </w:p>
          <w:p w:rsidR="00F40F2E" w:rsidRPr="00C43122" w:rsidRDefault="00F40F2E" w:rsidP="005629EB">
            <w:pPr>
              <w:rPr>
                <w:rFonts w:cs="Calibri"/>
                <w:sz w:val="20"/>
                <w:szCs w:val="20"/>
              </w:rPr>
            </w:pPr>
            <w:r w:rsidRPr="00C43122">
              <w:rPr>
                <w:rFonts w:cs="Calibri"/>
                <w:sz w:val="20"/>
                <w:szCs w:val="20"/>
                <w:lang w:eastAsia="pl-PL"/>
              </w:rPr>
              <w:t xml:space="preserve">(dotyczy tylko </w:t>
            </w:r>
            <w:r w:rsidRPr="00C43122">
              <w:rPr>
                <w:rFonts w:cs="Calibri"/>
                <w:sz w:val="20"/>
                <w:szCs w:val="20"/>
              </w:rPr>
              <w:t>przypadku technologii kamery klasycznej)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(w tym podać nazwę własną)</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czułości systemowej &gt; 250 cpm/µCi @ 10 cm</w:t>
            </w:r>
          </w:p>
          <w:p w:rsidR="00F40F2E" w:rsidRPr="00C43122" w:rsidRDefault="00F40F2E" w:rsidP="00C43122">
            <w:pPr>
              <w:jc w:val="center"/>
              <w:rPr>
                <w:rFonts w:cs="Calibri"/>
                <w:sz w:val="20"/>
                <w:szCs w:val="20"/>
              </w:rPr>
            </w:pPr>
            <w:r w:rsidRPr="00C43122">
              <w:rPr>
                <w:rFonts w:cs="Calibri"/>
                <w:sz w:val="20"/>
                <w:szCs w:val="20"/>
              </w:rPr>
              <w:t>= 2 pkt</w:t>
            </w:r>
          </w:p>
          <w:p w:rsidR="00F40F2E" w:rsidRPr="00C43122" w:rsidRDefault="00F40F2E" w:rsidP="00C43122">
            <w:pPr>
              <w:jc w:val="center"/>
              <w:rPr>
                <w:rFonts w:cs="Calibri"/>
                <w:sz w:val="20"/>
                <w:szCs w:val="20"/>
              </w:rPr>
            </w:pPr>
            <w:r w:rsidRPr="00C43122">
              <w:rPr>
                <w:rFonts w:cs="Calibri"/>
                <w:sz w:val="20"/>
                <w:szCs w:val="20"/>
              </w:rPr>
              <w:t>Wartość</w:t>
            </w:r>
          </w:p>
          <w:p w:rsidR="00F40F2E" w:rsidRPr="00C43122" w:rsidRDefault="00F40F2E" w:rsidP="00C43122">
            <w:pPr>
              <w:jc w:val="center"/>
              <w:rPr>
                <w:rFonts w:cs="Calibri"/>
                <w:sz w:val="20"/>
                <w:szCs w:val="20"/>
              </w:rPr>
            </w:pPr>
            <w:r w:rsidRPr="00C43122">
              <w:rPr>
                <w:rFonts w:cs="Calibri"/>
                <w:sz w:val="20"/>
                <w:szCs w:val="20"/>
              </w:rPr>
              <w:t>≤ 250 cpm/µCi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Kolimatory dedykowane do badań kardiologicznych umożliwiające skrócenie akwizycji SPECT minimum do 5 min</w:t>
            </w:r>
          </w:p>
          <w:p w:rsidR="00F40F2E" w:rsidRPr="00C43122" w:rsidRDefault="00F40F2E" w:rsidP="005629EB">
            <w:pPr>
              <w:rPr>
                <w:rFonts w:cs="Calibri"/>
                <w:sz w:val="20"/>
                <w:szCs w:val="20"/>
              </w:rPr>
            </w:pPr>
            <w:r w:rsidRPr="00C43122">
              <w:rPr>
                <w:rFonts w:cs="Calibri"/>
                <w:sz w:val="20"/>
                <w:szCs w:val="20"/>
                <w:lang w:eastAsia="pl-PL"/>
              </w:rPr>
              <w:t xml:space="preserve">(dotyczy tylko </w:t>
            </w:r>
            <w:r w:rsidRPr="00C43122">
              <w:rPr>
                <w:rFonts w:cs="Calibri"/>
                <w:sz w:val="20"/>
                <w:szCs w:val="20"/>
              </w:rPr>
              <w:t>przypadku technologii kamery klasycznej)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p w:rsidR="00F40F2E" w:rsidRPr="00C43122" w:rsidRDefault="00F40F2E" w:rsidP="00C43122">
            <w:pPr>
              <w:jc w:val="center"/>
              <w:rPr>
                <w:rFonts w:cs="Calibri"/>
                <w:sz w:val="20"/>
                <w:szCs w:val="20"/>
              </w:rPr>
            </w:pP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2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2237E">
            <w:pPr>
              <w:rPr>
                <w:rFonts w:cs="Calibri"/>
                <w:sz w:val="20"/>
                <w:szCs w:val="20"/>
              </w:rPr>
            </w:pPr>
            <w:r w:rsidRPr="00C43122">
              <w:rPr>
                <w:rFonts w:cs="Calibri"/>
                <w:sz w:val="20"/>
                <w:szCs w:val="20"/>
              </w:rPr>
              <w:t xml:space="preserve">Oprogramowanie do korekty dokładności zliczania i pomiarów ilościowych, w wyniku wydłużonego czasu martwego i przesunięcia piku energetycznego w trakcie akwizycji badań z o bardzo dużej szybkości zliczeń (np. z użyciem 177Lu i kolimatorami średnioenergetycznymi).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p w:rsidR="00F40F2E" w:rsidRPr="00C43122" w:rsidRDefault="00F40F2E" w:rsidP="00C43122">
            <w:pPr>
              <w:jc w:val="center"/>
              <w:rPr>
                <w:rFonts w:cs="Calibri"/>
                <w:sz w:val="20"/>
                <w:szCs w:val="20"/>
              </w:rPr>
            </w:pP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2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Czujniki sytuacji kolizyjnych blokujące ruchy głowic i stołu pacjenta.</w:t>
            </w:r>
          </w:p>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   zabezpieczenie pacjenta przed zetknięciem się z elementami konstrukcyjnymi podczas ich ruchu, sterowanego zarówno automatycznie jak i ręcznie.</w:t>
            </w:r>
          </w:p>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   system dotykowy zabezpieczenia pacjenta (mata dotykowa) przed kolizją z płaszczyzną kolimatora pokrywa całą powierzchnię pola widzenia, będąc integralną i nieodłączną częścią konstrukcją kolimatora</w:t>
            </w:r>
          </w:p>
          <w:p w:rsidR="00F40F2E" w:rsidRPr="00C43122" w:rsidRDefault="00F40F2E" w:rsidP="00B63E97">
            <w:pPr>
              <w:rPr>
                <w:rFonts w:cs="Calibri"/>
                <w:sz w:val="20"/>
                <w:szCs w:val="20"/>
              </w:rPr>
            </w:pPr>
            <w:r w:rsidRPr="00C43122">
              <w:rPr>
                <w:rFonts w:cs="Calibri"/>
                <w:sz w:val="20"/>
                <w:szCs w:val="20"/>
              </w:rPr>
              <w:lastRenderedPageBreak/>
              <w:t xml:space="preserve">-   system detekcji kolizji ciała pacjenta w podstacji bariery wiązki podczerwonej, będący częścią konstrukcyjną detektora, nie wymagający demontażu w </w:t>
            </w:r>
            <w:r w:rsidR="00B63E97">
              <w:rPr>
                <w:rFonts w:cs="Calibri"/>
                <w:sz w:val="20"/>
                <w:szCs w:val="20"/>
              </w:rPr>
              <w:t>przypadku wymiany kolimatora.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lastRenderedPageBreak/>
              <w:t>System przechowywania kolimatorów, automatyzacja wymiany kolimatorów – dot. gammakamery klasycznej</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Wózek lub wózki (opisać, podać ile szt.) do oferowanych kolimatorów</w:t>
            </w:r>
          </w:p>
          <w:p w:rsidR="00F40F2E" w:rsidRPr="00C43122" w:rsidRDefault="00F40F2E" w:rsidP="005629EB">
            <w:pPr>
              <w:rPr>
                <w:rFonts w:cs="Calibri"/>
                <w:sz w:val="20"/>
                <w:szCs w:val="20"/>
              </w:rPr>
            </w:pPr>
            <w:r w:rsidRPr="00C43122">
              <w:rPr>
                <w:rFonts w:cs="Calibri"/>
                <w:sz w:val="20"/>
                <w:szCs w:val="20"/>
              </w:rPr>
              <w:t>LUB ALTERNATYWNIE</w:t>
            </w:r>
          </w:p>
          <w:p w:rsidR="00F40F2E" w:rsidRPr="00C43122" w:rsidRDefault="00F40F2E" w:rsidP="005629EB">
            <w:pPr>
              <w:rPr>
                <w:rFonts w:cs="Calibri"/>
                <w:sz w:val="20"/>
                <w:szCs w:val="20"/>
              </w:rPr>
            </w:pPr>
            <w:r w:rsidRPr="00C43122">
              <w:rPr>
                <w:rFonts w:cs="Calibri"/>
                <w:sz w:val="20"/>
                <w:szCs w:val="20"/>
              </w:rPr>
              <w:t>System przechowywania kolimatorów w systemie 4 szuflad umieszczonych w stole skanera, eliminujący konieczność wykorzystania jakichkolwiek wózków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System oparty na wózkach = 0 pkt</w:t>
            </w:r>
          </w:p>
          <w:p w:rsidR="00F40F2E" w:rsidRPr="00C43122" w:rsidRDefault="00F40F2E" w:rsidP="00C43122">
            <w:pPr>
              <w:jc w:val="center"/>
              <w:rPr>
                <w:rFonts w:cs="Calibri"/>
                <w:sz w:val="20"/>
                <w:szCs w:val="20"/>
              </w:rPr>
            </w:pPr>
            <w:r w:rsidRPr="00C43122">
              <w:rPr>
                <w:rFonts w:cs="Calibri"/>
                <w:sz w:val="20"/>
                <w:szCs w:val="20"/>
              </w:rPr>
              <w:t>System oparty na zintegrowanych w stole skanera szufladach mieszczący min.2 pary kolimatorów = 2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Wymiana kolimatorów – zautomatyzowana w znaczeniu eliminacji korzystania z dodatkowych narzędzi typu śrubokręty, klucze itp.</w:t>
            </w:r>
          </w:p>
          <w:p w:rsidR="00F40F2E" w:rsidRPr="00C43122" w:rsidRDefault="00F40F2E" w:rsidP="005629EB">
            <w:pPr>
              <w:rPr>
                <w:rFonts w:cs="Calibri"/>
                <w:sz w:val="20"/>
                <w:szCs w:val="20"/>
              </w:rPr>
            </w:pPr>
            <w:r w:rsidRPr="00C43122">
              <w:rPr>
                <w:rFonts w:cs="Calibri"/>
                <w:sz w:val="20"/>
                <w:szCs w:val="20"/>
              </w:rPr>
              <w:t>Wymagane automatyczne pozycjonowanie detektorów gamma kamery względem wózka dedykowanego dla przechowywania kolimatorów lub względem innego użytego systemu do podawania kolimatorów podczas ich zakładania i zdejmowania.</w:t>
            </w:r>
          </w:p>
          <w:p w:rsidR="00F40F2E" w:rsidRPr="00C43122" w:rsidRDefault="00F40F2E" w:rsidP="005629EB">
            <w:pPr>
              <w:rPr>
                <w:rFonts w:cs="Calibri"/>
                <w:sz w:val="20"/>
                <w:szCs w:val="20"/>
              </w:rPr>
            </w:pP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Wymiana kolimatorów w pełni zautomatyzowana w znaczeniu braku jakichkolwiek czynności manualnych przy wózku, czy szufladach przy ich wymianie, a działanie ograniczają się do zadania na monitorze przy gantry określonego zlecenia dla systemu. TAK = 2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Łóżko pacjenta (stół)</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Maksymalne dopuszczalne obciążenie stołu [kg]</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200,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Współczynnik pochłaniania dla ruchomego blatu stołu dla </w:t>
            </w:r>
            <w:r w:rsidRPr="00C43122">
              <w:rPr>
                <w:rFonts w:cs="Calibri"/>
                <w:sz w:val="20"/>
                <w:szCs w:val="20"/>
              </w:rPr>
              <w:lastRenderedPageBreak/>
              <w:t>promieniowania gamma o energii 140 keV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&lt; 10,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Minimalna wysokość blatu stołu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60,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Zakres badania SPECT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&gt; 200,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Akwizycja planarna</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Rozmiar dostępnych ramek [piksele x piksele] </w:t>
            </w:r>
            <w:r w:rsidRPr="00C43122">
              <w:rPr>
                <w:rFonts w:cs="Calibri"/>
                <w:sz w:val="20"/>
                <w:szCs w:val="20"/>
              </w:rPr>
              <w:br/>
              <w:t>128 x 128, 256 x 256, 512 x 512</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Badanie planarne  bramkowane sygnałem EKG</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Badanie planarne bramkowane sygnałem EKG – matryca (min) 64 x 64</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w:t>
            </w:r>
          </w:p>
          <w:p w:rsidR="00F40F2E" w:rsidRPr="00C43122" w:rsidRDefault="00F40F2E" w:rsidP="00C43122">
            <w:pPr>
              <w:jc w:val="center"/>
              <w:rPr>
                <w:rFonts w:cs="Calibri"/>
                <w:sz w:val="20"/>
                <w:szCs w:val="20"/>
              </w:rPr>
            </w:pPr>
            <w:r w:rsidRPr="00C43122">
              <w:rPr>
                <w:rFonts w:cs="Calibri"/>
                <w:sz w:val="20"/>
                <w:szCs w:val="20"/>
              </w:rPr>
              <w:t xml:space="preserve"> Matryca ≥ 128 x 128 = 2 pkt</w:t>
            </w:r>
          </w:p>
          <w:p w:rsidR="00F40F2E" w:rsidRPr="00C43122" w:rsidRDefault="00F40F2E" w:rsidP="00C43122">
            <w:pPr>
              <w:jc w:val="center"/>
              <w:rPr>
                <w:rFonts w:cs="Calibri"/>
                <w:sz w:val="20"/>
                <w:szCs w:val="20"/>
              </w:rPr>
            </w:pPr>
            <w:r w:rsidRPr="00C43122">
              <w:rPr>
                <w:rFonts w:cs="Calibri"/>
                <w:sz w:val="20"/>
                <w:szCs w:val="20"/>
              </w:rPr>
              <w:t xml:space="preserve">Matryca &lt; 128 x 128 = 0pkt, </w:t>
            </w:r>
          </w:p>
          <w:p w:rsidR="00F40F2E" w:rsidRPr="00C43122" w:rsidRDefault="00F40F2E" w:rsidP="00C43122">
            <w:pPr>
              <w:jc w:val="center"/>
              <w:rPr>
                <w:rFonts w:cs="Calibri"/>
                <w:sz w:val="20"/>
                <w:szCs w:val="20"/>
              </w:rPr>
            </w:pPr>
            <w:r w:rsidRPr="00C43122">
              <w:rPr>
                <w:rFonts w:cs="Calibri"/>
                <w:sz w:val="20"/>
                <w:szCs w:val="20"/>
              </w:rPr>
              <w:t>NIE= 0 pkt</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Scyntygrafia całego ciała</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Długość skanu całego ciała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200</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Zakres szybkości przesuwu detektorów w trakcie akwizycji [cm/min]</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min. 5 – 20,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Odwzorowanie konturu pacjenta „on line” w trakcie akwizycji całego ciała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Tomografia emisyjna (SPECT i bramkowany SPECT)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Geometria ustawienia detektorów (dostępne kąty w badaniu SPECT – min. 180º, 90º) [º]</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oferowany parametr</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Zakres obrotu detektorów wokół osi gantry [º]</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360º,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Tomografia ECT bramkowana sygnałem EKG</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jednoczasowej rejestracji /akwizycji danych SPECT bramkowanych i niebramkowanych.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Odwzorowanie konturu pacjenta w trakcie akwizycji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oferowany parametr</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Akwizycja SPECT w trybach:</w:t>
            </w:r>
          </w:p>
          <w:p w:rsidR="00F40F2E" w:rsidRPr="00C43122" w:rsidRDefault="00F40F2E" w:rsidP="005629EB">
            <w:pPr>
              <w:rPr>
                <w:rFonts w:cs="Calibri"/>
                <w:sz w:val="20"/>
                <w:szCs w:val="20"/>
              </w:rPr>
            </w:pPr>
            <w:r w:rsidRPr="00C43122">
              <w:rPr>
                <w:rFonts w:cs="Calibri"/>
                <w:sz w:val="20"/>
                <w:szCs w:val="20"/>
              </w:rPr>
              <w:t>- step and shot (zatrzymanie i rejestracja ramki)</w:t>
            </w:r>
          </w:p>
          <w:p w:rsidR="00F40F2E" w:rsidRPr="00C43122" w:rsidRDefault="00F40F2E" w:rsidP="005629EB">
            <w:pPr>
              <w:rPr>
                <w:rFonts w:cs="Calibri"/>
                <w:sz w:val="20"/>
                <w:szCs w:val="20"/>
              </w:rPr>
            </w:pPr>
            <w:r w:rsidRPr="00C43122">
              <w:rPr>
                <w:rFonts w:cs="Calibri"/>
                <w:sz w:val="20"/>
                <w:szCs w:val="20"/>
              </w:rPr>
              <w:t>- continous (rejestracja ramek podczas ruchu gantry)</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System bramkowania sygnałem EKG, służący do wykonywania badania w trybie GATED SPECT. Wyprowadzenie kabla EKG pacjenta bezpośrednio z gniazda przyłączeniowego umieszczonego w poruszającym się blacie stołu.</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System akwizycji danych (Stacja akwizycyjna)</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Jeden system ze wspólnym interfejsem użytkownika, sterujący procesem akwizycji badań SPECT i CT, pozwalający na prezentację badań SPECT, SPECT/CT i CT, pracujący w systemie „dual-monitor” z 2 monitorami do zastosowań medycznych, każdy o przekątnej ekranu  ≥ 19”, z twardym dyskiem lub dyskami o łącznej pojemności fizycznej min. 2 TB</w:t>
            </w:r>
          </w:p>
          <w:p w:rsidR="00F40F2E" w:rsidRPr="00C43122" w:rsidRDefault="00F40F2E" w:rsidP="005629EB">
            <w:pPr>
              <w:rPr>
                <w:rFonts w:cs="Calibri"/>
                <w:sz w:val="20"/>
                <w:szCs w:val="20"/>
              </w:rPr>
            </w:pPr>
            <w:r w:rsidRPr="00C43122">
              <w:rPr>
                <w:rFonts w:cs="Calibri"/>
                <w:sz w:val="20"/>
                <w:szCs w:val="20"/>
              </w:rPr>
              <w:t>Możliwość sklonowania funkcjonalności monitora podglądu na aparacie.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pojemność dysków</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Stacja akwizycyjna o pojemności twardych dysków minimum 5 TB = 1 pkt</w:t>
            </w:r>
          </w:p>
          <w:p w:rsidR="00F40F2E" w:rsidRPr="00C43122" w:rsidRDefault="00F40F2E" w:rsidP="00C43122">
            <w:pPr>
              <w:jc w:val="center"/>
              <w:rPr>
                <w:rFonts w:cs="Calibri"/>
                <w:sz w:val="20"/>
                <w:szCs w:val="20"/>
              </w:rPr>
            </w:pPr>
            <w:r w:rsidRPr="00C43122">
              <w:rPr>
                <w:rFonts w:cs="Calibri"/>
                <w:sz w:val="20"/>
                <w:szCs w:val="20"/>
              </w:rPr>
              <w:t>Pojemność graniczna = 0 pkt</w:t>
            </w:r>
          </w:p>
          <w:p w:rsidR="00F40F2E" w:rsidRPr="00C43122" w:rsidRDefault="00F40F2E" w:rsidP="00C43122">
            <w:pPr>
              <w:jc w:val="center"/>
              <w:rPr>
                <w:rFonts w:cs="Calibri"/>
                <w:sz w:val="20"/>
                <w:szCs w:val="20"/>
              </w:rPr>
            </w:pP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Tworzenie własnych protokołów akwizycyjnych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Wprowadzanie danych kolejnych pacjentów w trakcie trwania bieżącej akwizycji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pStyle w:val="Zawartotabeli"/>
              <w:snapToGrid w:val="0"/>
              <w:spacing w:before="60" w:after="60"/>
              <w:rPr>
                <w:rFonts w:ascii="Calibri" w:hAnsi="Calibri" w:cs="Calibri"/>
                <w:kern w:val="0"/>
                <w:sz w:val="20"/>
                <w:szCs w:val="20"/>
                <w:lang w:eastAsia="en-US"/>
              </w:rPr>
            </w:pPr>
            <w:r w:rsidRPr="00C43122">
              <w:rPr>
                <w:rFonts w:ascii="Calibri" w:hAnsi="Calibri" w:cs="Calibri"/>
                <w:kern w:val="0"/>
                <w:sz w:val="20"/>
                <w:szCs w:val="20"/>
                <w:lang w:eastAsia="en-US"/>
              </w:rPr>
              <w:t xml:space="preserve">Automatyczna kontrola jakości – bez udziału użytkownika, zlecana na określoną godzinę do wykonania przez system, z automatycznym zdjęciem i założeniem wymaganych kolimatorów. </w:t>
            </w:r>
            <w:r w:rsidRPr="00C43122">
              <w:rPr>
                <w:rFonts w:ascii="Calibri" w:hAnsi="Calibri" w:cs="Calibri"/>
                <w:kern w:val="0"/>
                <w:sz w:val="20"/>
                <w:szCs w:val="20"/>
                <w:u w:val="single"/>
                <w:lang w:eastAsia="en-US"/>
              </w:rPr>
              <w:t xml:space="preserve">Z dostawą w czasie trwania gwarancji źródeł długożyciowych  </w:t>
            </w:r>
            <w:r w:rsidRPr="00C43122">
              <w:rPr>
                <w:rFonts w:ascii="Calibri" w:hAnsi="Calibri" w:cs="Calibri"/>
                <w:kern w:val="0"/>
                <w:sz w:val="20"/>
                <w:szCs w:val="20"/>
                <w:lang w:eastAsia="en-US"/>
              </w:rPr>
              <w:t>(przechowywanych w łóżku pacjenta między procedurami kontrolnymi z ich użyciem) w określonym przez użytkownika terminie.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rPr>
                <w:rFonts w:cs="Calibri"/>
                <w:sz w:val="20"/>
                <w:szCs w:val="20"/>
              </w:rPr>
            </w:pPr>
            <w:r w:rsidRPr="00C43122">
              <w:rPr>
                <w:rFonts w:cs="Calibri"/>
                <w:sz w:val="20"/>
                <w:szCs w:val="20"/>
              </w:rPr>
              <w:t>Komunikacja sieciowa (Ethernet) poprzez protokół DICOM z obsługą poniższych klas:</w:t>
            </w:r>
          </w:p>
          <w:p w:rsidR="00F40F2E" w:rsidRPr="00C43122" w:rsidRDefault="00F40F2E" w:rsidP="00C43122">
            <w:pPr>
              <w:numPr>
                <w:ilvl w:val="0"/>
                <w:numId w:val="1"/>
              </w:numPr>
              <w:suppressAutoHyphens/>
              <w:spacing w:after="0" w:line="240" w:lineRule="auto"/>
              <w:rPr>
                <w:rFonts w:cs="Calibri"/>
                <w:sz w:val="20"/>
                <w:szCs w:val="20"/>
              </w:rPr>
            </w:pPr>
            <w:r w:rsidRPr="00C43122">
              <w:rPr>
                <w:rFonts w:cs="Calibri"/>
                <w:sz w:val="20"/>
                <w:szCs w:val="20"/>
              </w:rPr>
              <w:t>wysyłanie badań</w:t>
            </w:r>
          </w:p>
          <w:p w:rsidR="00F40F2E" w:rsidRPr="00C43122" w:rsidRDefault="00F40F2E" w:rsidP="00C43122">
            <w:pPr>
              <w:numPr>
                <w:ilvl w:val="0"/>
                <w:numId w:val="1"/>
              </w:numPr>
              <w:suppressAutoHyphens/>
              <w:spacing w:after="0" w:line="240" w:lineRule="auto"/>
              <w:rPr>
                <w:rFonts w:cs="Calibri"/>
                <w:sz w:val="20"/>
                <w:szCs w:val="20"/>
              </w:rPr>
            </w:pPr>
            <w:r w:rsidRPr="00C43122">
              <w:rPr>
                <w:rFonts w:cs="Calibri"/>
                <w:sz w:val="20"/>
                <w:szCs w:val="20"/>
              </w:rPr>
              <w:t>otrzymywanie listy roboczej (work list)</w:t>
            </w:r>
          </w:p>
          <w:p w:rsidR="00F40F2E" w:rsidRPr="00C43122" w:rsidRDefault="00F40F2E" w:rsidP="00C43122">
            <w:pPr>
              <w:numPr>
                <w:ilvl w:val="0"/>
                <w:numId w:val="1"/>
              </w:numPr>
              <w:suppressAutoHyphens/>
              <w:spacing w:after="0" w:line="240" w:lineRule="auto"/>
              <w:rPr>
                <w:rFonts w:cs="Calibri"/>
                <w:sz w:val="20"/>
                <w:szCs w:val="20"/>
              </w:rPr>
            </w:pPr>
            <w:r w:rsidRPr="00C43122">
              <w:rPr>
                <w:rFonts w:cs="Calibri"/>
                <w:sz w:val="20"/>
                <w:szCs w:val="20"/>
              </w:rPr>
              <w:t>zapytanie o badania</w:t>
            </w:r>
          </w:p>
          <w:p w:rsidR="00F40F2E" w:rsidRPr="00C43122" w:rsidRDefault="00F40F2E" w:rsidP="00C43122">
            <w:pPr>
              <w:numPr>
                <w:ilvl w:val="0"/>
                <w:numId w:val="1"/>
              </w:numPr>
              <w:suppressAutoHyphens/>
              <w:spacing w:after="0" w:line="240" w:lineRule="auto"/>
              <w:rPr>
                <w:rFonts w:cs="Calibri"/>
                <w:strike/>
                <w:sz w:val="20"/>
                <w:szCs w:val="20"/>
              </w:rPr>
            </w:pPr>
            <w:r w:rsidRPr="00C43122">
              <w:rPr>
                <w:rFonts w:cs="Calibri"/>
                <w:sz w:val="20"/>
                <w:szCs w:val="20"/>
              </w:rPr>
              <w:t>drukowanie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Archiwizacja wybranych badań na nośniku CD lub DVD w formacie DICOM 3.0, wraz z DICOMDIR i przeglądarką badań</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4"/>
                <w:szCs w:val="24"/>
                <w:u w:val="single"/>
              </w:rPr>
            </w:pPr>
            <w:r w:rsidRPr="00C43122">
              <w:rPr>
                <w:rFonts w:cs="Calibri"/>
                <w:b/>
                <w:sz w:val="24"/>
                <w:szCs w:val="24"/>
                <w:u w:val="single"/>
              </w:rPr>
              <w:t>Aparat nr 2: Gamma kamera SPECT / CT – szt. 1.</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Moduł CT (tomografii komputerowej)</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System przeznaczony do korekcji pochłaniania, lokalizacji anatomicznej i diagnostyki radiologicznej metodą tomografii komputerowej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Liczba  warstw jednoczesnej akwizycji na poziomie grubości warstwy submilimetrowym, podać liczbę warstw i grubość warstwy w akwizycji spiralnej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16,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System powinien umożliwić wykonanie akwizycji spiralnej i aksjalnej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Wybór napięć lampy RTG co najmniej w zakresie od 80 kV do 130 kV</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Maksymalny zakres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Maksymalny prąd anodowy lampy RTG (mA)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340</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Pojemność cieplna lampy RTG (MHU)</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Moc maksymalna generatora  (kW)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Minimalna grubość warstwy CT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0,625,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Najkrótszy czas obrotu układu lampa rtg-detektor [s]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0,5,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Maksymalny czas trwania ciągłego skanu spiralnego [s]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Długość skanu spiralnego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Długość skanu przeglądowego (topogram )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Szerokość skanu przeglądowego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Zakres zmienności pitch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0,625 ÷ 1,675,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Rozdzielczość wysokokontrastowa (przestrzenna), zmierzona w maksymalnym polu akwizycyjnym, przy 2 % MTF [lp/cm]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15,1,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Maksymalna rozdzielczość niskokontrastowa, mierzona dla fantomu CATHPAN o średnicy 20 cm, przy warstwie 10 mm, dla różnicy kontrastu 3 HU, napięcia z zakresu 130-140 kV, mierzona w polu akwizycyjnym 50 cm,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Diagnostyczne pole widzenia modu</w:t>
            </w:r>
            <w:r w:rsidRPr="00C43122">
              <w:rPr>
                <w:rFonts w:eastAsia="TimesNewRoman" w:cs="Calibri"/>
                <w:sz w:val="20"/>
                <w:szCs w:val="20"/>
              </w:rPr>
              <w:t>ł</w:t>
            </w:r>
            <w:r w:rsidRPr="00C43122">
              <w:rPr>
                <w:rFonts w:cs="Calibri"/>
                <w:sz w:val="20"/>
                <w:szCs w:val="20"/>
              </w:rPr>
              <w:t>u CT min. 50 cm z mo</w:t>
            </w:r>
            <w:r w:rsidRPr="00C43122">
              <w:rPr>
                <w:rFonts w:eastAsia="TimesNewRoman" w:cs="Calibri"/>
                <w:sz w:val="20"/>
                <w:szCs w:val="20"/>
              </w:rPr>
              <w:t>ż</w:t>
            </w:r>
            <w:r w:rsidRPr="00C43122">
              <w:rPr>
                <w:rFonts w:cs="Calibri"/>
                <w:sz w:val="20"/>
                <w:szCs w:val="20"/>
              </w:rPr>
              <w:t>liwo</w:t>
            </w:r>
            <w:r w:rsidRPr="00C43122">
              <w:rPr>
                <w:rFonts w:eastAsia="TimesNewRoman" w:cs="Calibri"/>
                <w:sz w:val="20"/>
                <w:szCs w:val="20"/>
              </w:rPr>
              <w:t>ś</w:t>
            </w:r>
            <w:r w:rsidRPr="00C43122">
              <w:rPr>
                <w:rFonts w:cs="Calibri"/>
                <w:sz w:val="20"/>
                <w:szCs w:val="20"/>
              </w:rPr>
              <w:t>ci</w:t>
            </w:r>
            <w:r w:rsidRPr="00C43122">
              <w:rPr>
                <w:rFonts w:eastAsia="TimesNewRoman" w:cs="Calibri"/>
                <w:sz w:val="20"/>
                <w:szCs w:val="20"/>
              </w:rPr>
              <w:t xml:space="preserve">ą </w:t>
            </w:r>
            <w:r w:rsidRPr="00C43122">
              <w:rPr>
                <w:rFonts w:cs="Calibri"/>
                <w:sz w:val="20"/>
                <w:szCs w:val="20"/>
              </w:rPr>
              <w:t>rozszerzenia w przypadku korekcji atentacji oraz lokalizacji anatomicznej do min. 70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 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Osiowe pole widzenia skanu transmisyjnego przy pojedynczym obrocie lampy rentgenowskiej w orbicie 360° bez przesuwu sto</w:t>
            </w:r>
            <w:r w:rsidRPr="00C43122">
              <w:rPr>
                <w:rFonts w:eastAsia="TimesNewRoman" w:cs="Calibri"/>
                <w:sz w:val="20"/>
                <w:szCs w:val="20"/>
              </w:rPr>
              <w:t>ł</w:t>
            </w:r>
            <w:r w:rsidRPr="00C43122">
              <w:rPr>
                <w:rFonts w:cs="Calibri"/>
                <w:sz w:val="20"/>
                <w:szCs w:val="20"/>
              </w:rPr>
              <w:t>u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Minimalna grubo</w:t>
            </w:r>
            <w:r w:rsidRPr="00C43122">
              <w:rPr>
                <w:rFonts w:eastAsia="TimesNewRoman" w:cs="Calibri"/>
                <w:sz w:val="20"/>
                <w:szCs w:val="20"/>
              </w:rPr>
              <w:t xml:space="preserve">ść </w:t>
            </w:r>
            <w:r w:rsidRPr="00C43122">
              <w:rPr>
                <w:rFonts w:cs="Calibri"/>
                <w:sz w:val="20"/>
                <w:szCs w:val="20"/>
              </w:rPr>
              <w:t>przekroju uzyskanego ze skanu transmisyjnego przy pojedynczym obrocie lampy rentgenowskiej w orbicie 360° przy akwizycji 16 warstwowej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najmniejsza – 10 pkt</w:t>
            </w:r>
          </w:p>
          <w:p w:rsidR="00F40F2E" w:rsidRPr="00C43122" w:rsidRDefault="00F40F2E" w:rsidP="00C43122">
            <w:pPr>
              <w:jc w:val="center"/>
              <w:rPr>
                <w:rFonts w:cs="Calibri"/>
                <w:sz w:val="20"/>
                <w:szCs w:val="20"/>
              </w:rPr>
            </w:pPr>
            <w:r w:rsidRPr="00C43122">
              <w:rPr>
                <w:rFonts w:cs="Calibri"/>
                <w:sz w:val="20"/>
                <w:szCs w:val="20"/>
              </w:rPr>
              <w:t>Pozostałe–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 xml:space="preserve">Algorytm iteracyjny służący do usuwania na obrazach TK artefaktów pochodzenia odmetalowego – od endoprotez i implantów, służący jednocześnie do korekcji pochłaniania.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Algorytm działający w poszerzonym polu widzenia i do AC = 70 cm  – 5 pkt</w:t>
            </w:r>
          </w:p>
          <w:p w:rsidR="00F40F2E" w:rsidRPr="00C43122" w:rsidRDefault="00F40F2E" w:rsidP="00C43122">
            <w:pPr>
              <w:jc w:val="center"/>
              <w:rPr>
                <w:rFonts w:cs="Calibri"/>
                <w:sz w:val="20"/>
                <w:szCs w:val="20"/>
              </w:rPr>
            </w:pPr>
            <w:r w:rsidRPr="00C43122">
              <w:rPr>
                <w:rFonts w:cs="Calibri"/>
                <w:sz w:val="20"/>
                <w:szCs w:val="20"/>
              </w:rPr>
              <w:t>Algorytm działający w 50 cm polu widzenia i do AC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Możliwość przeprowadzania wielokrotnych rekonstrukcji obrazu i reformatowania -  równolegle do skanowania. Możliwość wprowadzenia do protokołu skanowania wczytania do min. 8 zadań rekonstrukcji. Zadania te są wykonywane automatycznie w tle, bez konieczności opóźniania rozpoczęcia badania kolejnego pacjenta.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xml:space="preserve">TAK/NIE, Podać (w </w:t>
            </w:r>
            <w:r w:rsidRPr="00B63E97">
              <w:rPr>
                <w:rFonts w:cs="Calibri"/>
                <w:sz w:val="20"/>
                <w:szCs w:val="20"/>
              </w:rPr>
              <w:t>tym podać liczbę realizowanych  zadań rekonstrukcji)</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Moduł SPECT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pStyle w:val="Tekstprzypisukocowego"/>
              <w:snapToGrid w:val="0"/>
              <w:spacing w:line="276" w:lineRule="auto"/>
              <w:contextualSpacing/>
              <w:rPr>
                <w:rFonts w:cs="Calibri"/>
              </w:rPr>
            </w:pPr>
            <w:r w:rsidRPr="00C43122">
              <w:rPr>
                <w:rFonts w:cs="Calibri"/>
              </w:rPr>
              <w:t>Zakres obrotu obu detektorów gammakamery wokół osi gantry</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bCs/>
                <w:sz w:val="20"/>
                <w:szCs w:val="20"/>
              </w:rPr>
              <w:t xml:space="preserve">≥ </w:t>
            </w:r>
            <w:r w:rsidRPr="00C43122">
              <w:rPr>
                <w:rFonts w:cs="Calibri"/>
                <w:sz w:val="20"/>
                <w:szCs w:val="20"/>
              </w:rPr>
              <w:t>540°,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line="276" w:lineRule="auto"/>
              <w:contextualSpacing/>
              <w:rPr>
                <w:rFonts w:cs="Calibri"/>
                <w:sz w:val="20"/>
                <w:szCs w:val="20"/>
              </w:rPr>
            </w:pPr>
            <w:r w:rsidRPr="00C43122">
              <w:rPr>
                <w:rFonts w:cs="Calibri"/>
                <w:sz w:val="20"/>
                <w:szCs w:val="20"/>
              </w:rPr>
              <w:t>Możliwość ustawienia detektorów gammakamera do badań</w:t>
            </w:r>
          </w:p>
          <w:p w:rsidR="00F40F2E" w:rsidRPr="00C43122" w:rsidRDefault="00F40F2E" w:rsidP="00C43122">
            <w:pPr>
              <w:spacing w:line="276" w:lineRule="auto"/>
              <w:contextualSpacing/>
              <w:rPr>
                <w:rFonts w:cs="Calibri"/>
                <w:sz w:val="20"/>
                <w:szCs w:val="20"/>
              </w:rPr>
            </w:pPr>
            <w:r w:rsidRPr="00C43122">
              <w:rPr>
                <w:rFonts w:cs="Calibri"/>
                <w:sz w:val="20"/>
                <w:szCs w:val="20"/>
              </w:rPr>
              <w:t xml:space="preserve">- pacjenta w pozycji siedzącej, między detektorami ustawionymi w sposób umożliwiający jednoczesne wykonanie akwizycji/zdjęć PA/AP </w:t>
            </w:r>
            <w:r w:rsidRPr="00C43122">
              <w:rPr>
                <w:rFonts w:cs="Calibri"/>
                <w:sz w:val="20"/>
                <w:szCs w:val="20"/>
              </w:rPr>
              <w:lastRenderedPageBreak/>
              <w:t>(system umożliwia elektryczne sterowanie wysokościami detektorów w taki sposób, że możliwe jest ich ustawienie na różnych wysokościach)</w:t>
            </w:r>
          </w:p>
          <w:p w:rsidR="00F40F2E" w:rsidRPr="00C43122" w:rsidRDefault="00F40F2E" w:rsidP="00C43122">
            <w:pPr>
              <w:spacing w:line="276" w:lineRule="auto"/>
              <w:contextualSpacing/>
              <w:rPr>
                <w:rFonts w:cs="Calibri"/>
                <w:sz w:val="20"/>
                <w:szCs w:val="20"/>
              </w:rPr>
            </w:pPr>
            <w:r w:rsidRPr="00C43122">
              <w:rPr>
                <w:rFonts w:cs="Calibri"/>
                <w:sz w:val="20"/>
                <w:szCs w:val="20"/>
              </w:rPr>
              <w:t>- pacjenta w pozycji siedzącej z detektorem ustawionym w ten sposób, że jego pole</w:t>
            </w:r>
            <w:r w:rsidRPr="00C43122">
              <w:rPr>
                <w:rFonts w:cs="Calibri"/>
                <w:sz w:val="20"/>
                <w:szCs w:val="20"/>
              </w:rPr>
              <w:br w:type="page"/>
              <w:t xml:space="preserve"> widzenia skierowane jest w kierunku od osi obrotu gantry, na zewnątrz, z możliwością</w:t>
            </w:r>
            <w:r w:rsidRPr="00C43122">
              <w:rPr>
                <w:rFonts w:cs="Calibri"/>
                <w:sz w:val="20"/>
                <w:szCs w:val="20"/>
              </w:rPr>
              <w:br w:type="page"/>
              <w:t xml:space="preserve"> elektrycznego sterowania wysokością każdego z detektorów osobno. </w:t>
            </w:r>
            <w:r w:rsidRPr="00C43122">
              <w:rPr>
                <w:rFonts w:cs="Calibri"/>
                <w:sz w:val="20"/>
                <w:szCs w:val="20"/>
              </w:rPr>
              <w:br w:type="page"/>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ustawienia detektorów do badań pacjenta na leżance/wózku szpitalnym</w:t>
            </w:r>
          </w:p>
          <w:p w:rsidR="00F40F2E" w:rsidRPr="00C43122" w:rsidRDefault="00F40F2E" w:rsidP="00C43122">
            <w:pPr>
              <w:spacing w:line="276" w:lineRule="auto"/>
              <w:contextualSpacing/>
              <w:rPr>
                <w:rFonts w:cs="Calibri"/>
                <w:sz w:val="20"/>
                <w:szCs w:val="20"/>
              </w:rPr>
            </w:pPr>
            <w:r w:rsidRPr="00C43122">
              <w:rPr>
                <w:rFonts w:cs="Calibri"/>
                <w:sz w:val="20"/>
                <w:szCs w:val="20"/>
              </w:rPr>
              <w:t>- dla pacjenta w pozycji leżącej (obie głowice ustawione w jednej płaszczyźnie nad ciałem pacjenta, umożliwiają jednoczesne obrazowanie leżącego na leżance/wózku szpitalnym pacjenta)</w:t>
            </w:r>
          </w:p>
          <w:p w:rsidR="00F40F2E" w:rsidRPr="00C43122" w:rsidRDefault="00F40F2E" w:rsidP="00C43122">
            <w:pPr>
              <w:spacing w:line="276" w:lineRule="auto"/>
              <w:contextualSpacing/>
              <w:rPr>
                <w:rFonts w:cs="Calibri"/>
                <w:sz w:val="20"/>
                <w:szCs w:val="20"/>
              </w:rPr>
            </w:pPr>
            <w:r w:rsidRPr="00C43122">
              <w:rPr>
                <w:rFonts w:cs="Calibri"/>
                <w:sz w:val="20"/>
                <w:szCs w:val="20"/>
              </w:rPr>
              <w:t>- dla pacjenta w pozycji półleżącej (obie głowice ustawione nad ciałem pacjenta leżącego na leżance/wózku szpitalnym z możliwością pochylenia w osi długiej leżanki/wózka szpitalnego)</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ustawienia detektorów pod kątem 180° (równolegle – np. do badań całego ciała i SPECT)</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ustawienia detektorów pod kątem 90º, dostępna co najmniej dla kolimatorów LEHR (np. do badań kardiologicznych SPECT ), z możliwością zbliżenia głowic w trybie L do osi obrotu badania SPECT, z aktywnym w tym trybie 'body contouring"</w:t>
            </w:r>
          </w:p>
          <w:p w:rsidR="00F40F2E" w:rsidRPr="00C43122" w:rsidRDefault="00F40F2E" w:rsidP="005674DE">
            <w:pPr>
              <w:rPr>
                <w:rFonts w:cs="Calibri"/>
                <w:sz w:val="20"/>
                <w:szCs w:val="20"/>
              </w:rPr>
            </w:pPr>
            <w:r w:rsidRPr="00C43122">
              <w:rPr>
                <w:rFonts w:cs="Calibri"/>
                <w:sz w:val="20"/>
                <w:szCs w:val="20"/>
              </w:rPr>
              <w:t xml:space="preserve">Ustawienie detektorów nad pacjentem do badań kardiologicznych pod kątem ostrym (liczony wewnętrzny kąt m/detektorami), podać wartość kąta [°] </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1 pkt</w:t>
            </w:r>
          </w:p>
          <w:p w:rsidR="00F40F2E" w:rsidRPr="00C43122" w:rsidRDefault="00F40F2E" w:rsidP="00C43122">
            <w:pPr>
              <w:jc w:val="center"/>
              <w:rPr>
                <w:rFonts w:cs="Calibri"/>
                <w:sz w:val="20"/>
                <w:szCs w:val="20"/>
              </w:rPr>
            </w:pPr>
            <w:r w:rsidRPr="00C43122">
              <w:rPr>
                <w:rFonts w:cs="Calibri"/>
                <w:sz w:val="20"/>
                <w:szCs w:val="20"/>
              </w:rPr>
              <w:t>Nie = 0 pkt</w:t>
            </w:r>
          </w:p>
          <w:p w:rsidR="00F40F2E" w:rsidRPr="00C43122" w:rsidRDefault="00F40F2E" w:rsidP="00C43122">
            <w:pPr>
              <w:jc w:val="center"/>
              <w:rPr>
                <w:rFonts w:cs="Calibri"/>
                <w:sz w:val="20"/>
                <w:szCs w:val="20"/>
              </w:rPr>
            </w:pP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Jeden monitor podglądu dostępny z obu stron gantry (bez konieczności demontażu), prezentujący między innymi:</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podgląd obrazu z obu detektorów,</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parametry pozycji gantry,</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parametry pozycji detektorów,</w:t>
            </w:r>
          </w:p>
          <w:p w:rsidR="00F40F2E" w:rsidRPr="00C43122" w:rsidRDefault="00F40F2E" w:rsidP="00C43122">
            <w:pPr>
              <w:pStyle w:val="Stopka"/>
              <w:numPr>
                <w:ilvl w:val="0"/>
                <w:numId w:val="2"/>
              </w:numPr>
              <w:tabs>
                <w:tab w:val="clear" w:pos="1077"/>
                <w:tab w:val="clear" w:pos="4536"/>
                <w:tab w:val="clear" w:pos="9072"/>
                <w:tab w:val="num" w:pos="363"/>
              </w:tabs>
              <w:suppressAutoHyphens/>
              <w:spacing w:line="276" w:lineRule="auto"/>
              <w:ind w:left="363" w:hanging="363"/>
              <w:contextualSpacing/>
              <w:rPr>
                <w:rFonts w:ascii="Calibri" w:hAnsi="Calibri" w:cs="Calibri"/>
              </w:rPr>
            </w:pPr>
            <w:r w:rsidRPr="00C43122">
              <w:rPr>
                <w:rFonts w:ascii="Calibri" w:hAnsi="Calibri" w:cs="Calibri"/>
              </w:rPr>
              <w:t>parametry pozycji stołu,</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typ zainstalowanego kolimatora.</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0"/>
                <w:szCs w:val="20"/>
                <w:lang w:eastAsia="pl-PL"/>
              </w:rPr>
            </w:pPr>
            <w:r w:rsidRPr="00C43122">
              <w:rPr>
                <w:rFonts w:cs="Calibri"/>
                <w:sz w:val="20"/>
                <w:szCs w:val="20"/>
                <w:lang w:eastAsia="pl-PL"/>
              </w:rPr>
              <w:t>Możliwość prezentacja parametrów ilościowych w badaniach SPECT/CT w postaci SUV (Standard Uptake Value). Kalibracja za pomocą źródeł przygotowanych przez użytkownika  dla 99mTc, 131-I, 123-I, 111Ind, 177Lu</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jc w:val="both"/>
              <w:rPr>
                <w:rFonts w:cs="Calibri"/>
                <w:sz w:val="20"/>
                <w:szCs w:val="20"/>
                <w:lang w:eastAsia="pl-PL"/>
              </w:rPr>
            </w:pPr>
            <w:r w:rsidRPr="00C43122">
              <w:rPr>
                <w:rFonts w:cs="Calibri"/>
                <w:sz w:val="20"/>
                <w:szCs w:val="20"/>
                <w:lang w:eastAsia="pl-PL"/>
              </w:rPr>
              <w:t>Kalibracja za pomocą zamkniętych źródeł NIST lub równoważnych zgodnie z nomenklatura producenta, dedykowanych dla badań z  99mTc i 177Lu</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Akwizycja obrazów SPECT/CT dla martycy SPECT 256x256 wraz z dedykowaną rekonstrukcją tych danych.</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wykonania badań kardiologicznych planarnych, SPECT i SPECT/CT</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wykonania badań SPECT i SPECT/CT w trybie wielołóżkowym (min. 3 SPECT).</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akwizycji danych niezbędnych do korekcji rozproszenia (scatter correction) min. dal 99mTc,131I, 123I, 111In, 67Ga</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jednoczesnej akwizycji z min. 6 okien energetycznych</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D3451E">
            <w:pPr>
              <w:rPr>
                <w:rFonts w:cs="Calibri"/>
                <w:sz w:val="20"/>
                <w:szCs w:val="20"/>
              </w:rPr>
            </w:pPr>
            <w:r w:rsidRPr="00C43122">
              <w:rPr>
                <w:rFonts w:cs="Calibri"/>
                <w:sz w:val="20"/>
                <w:szCs w:val="20"/>
              </w:rPr>
              <w:t>Możliwości założenia na detektory i przeprowadzania prawidłowej akwizycji na kolimatorach minimum: niskoenergetycznych wysokorozdzielczych, średnioenergetycznych, wysokoenergetycznych, typu pinhole.</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Zakres dostępnych energii (keV)</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xml:space="preserve">Gammakamera klasyczna:    </w:t>
            </w:r>
            <w:r w:rsidRPr="00C43122">
              <w:rPr>
                <w:rFonts w:cs="Calibri"/>
                <w:sz w:val="20"/>
                <w:szCs w:val="20"/>
              </w:rPr>
              <w:sym w:font="Symbol" w:char="F0B3"/>
            </w:r>
            <w:r w:rsidRPr="00C43122">
              <w:rPr>
                <w:rFonts w:cs="Calibri"/>
                <w:sz w:val="20"/>
                <w:szCs w:val="20"/>
              </w:rPr>
              <w:t xml:space="preserve"> 40 – 600,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Średnica otworu zintegrowanego </w:t>
            </w:r>
            <w:r w:rsidRPr="00C43122">
              <w:rPr>
                <w:rFonts w:cs="Calibri"/>
                <w:strike/>
                <w:sz w:val="20"/>
                <w:szCs w:val="20"/>
              </w:rPr>
              <w:t xml:space="preserve">  </w:t>
            </w:r>
            <w:r w:rsidRPr="00C43122">
              <w:rPr>
                <w:rFonts w:cs="Calibri"/>
                <w:sz w:val="20"/>
                <w:szCs w:val="20"/>
              </w:rPr>
              <w:t>gantry w jednej obudowie wynosząca co najmniej 70 cm</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Detektory gamma kamery</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Pełne użyteczne pole widzenia detektora prostokątne, bez obciętych naroży</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Wymiary prostokątnego, użytecznego pola widzenia detektora (UFOV), minimalne:  Szerokość ≥ 53,3 cm, Głębokość ≥ 38,7 cm</w:t>
            </w:r>
          </w:p>
        </w:tc>
        <w:tc>
          <w:tcPr>
            <w:tcW w:w="1975" w:type="dxa"/>
            <w:vAlign w:val="center"/>
          </w:tcPr>
          <w:p w:rsidR="00F40F2E" w:rsidRPr="00C43122" w:rsidRDefault="00F40F2E" w:rsidP="00C43122">
            <w:pPr>
              <w:snapToGrid w:val="0"/>
              <w:spacing w:line="276" w:lineRule="auto"/>
              <w:contextualSpacing/>
              <w:jc w:val="center"/>
              <w:rPr>
                <w:rFonts w:cs="Calibri"/>
                <w:sz w:val="20"/>
                <w:szCs w:val="20"/>
              </w:rPr>
            </w:pPr>
            <w:r w:rsidRPr="00C43122">
              <w:rPr>
                <w:rFonts w:cs="Calibri"/>
                <w:sz w:val="20"/>
                <w:szCs w:val="20"/>
              </w:rPr>
              <w:t xml:space="preserve">TAK, Podać szerokość, głębokość, pole. </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Największe pole obrazowania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Liczba fotopowielaczy w detektorze nie mniejsza niż 59</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Grubość kryształu 9,5 mm (3/8")</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Pełna cyfryzacja detektora: jeden ADC na jeden fotopowielacz</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 liczbę przetworników analogowo cyfrowych w jednym detektorze</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geometryczna zdolność rozdzielcza (rozdzielczość przestrzenna) wg standardu NEMA):</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C43122">
              <w:rPr>
                <w:rFonts w:cs="Calibri"/>
                <w:sz w:val="20"/>
                <w:szCs w:val="20"/>
                <w:lang w:val="en-US"/>
              </w:rPr>
              <w:t>FWHM (UFOV) ≤ 4,0</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C43122">
              <w:rPr>
                <w:rFonts w:cs="Calibri"/>
                <w:sz w:val="20"/>
                <w:szCs w:val="20"/>
                <w:lang w:val="en-US"/>
              </w:rPr>
              <w:t>FWTM (UFOV) ≤ 8,0</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rPr>
            </w:pPr>
            <w:r w:rsidRPr="00C43122">
              <w:rPr>
                <w:rFonts w:cs="Calibri"/>
                <w:sz w:val="20"/>
                <w:szCs w:val="20"/>
                <w:lang w:val="en-US"/>
              </w:rPr>
              <w:t>FWHM (CFOV) ≤ 4,0</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C43122">
              <w:rPr>
                <w:rFonts w:cs="Calibri"/>
                <w:sz w:val="20"/>
                <w:szCs w:val="20"/>
                <w:lang w:val="en-US"/>
              </w:rPr>
              <w:t xml:space="preserve">FWTM (CFOV) </w:t>
            </w:r>
            <w:r w:rsidRPr="00C43122">
              <w:rPr>
                <w:rFonts w:cs="Calibri"/>
                <w:sz w:val="20"/>
                <w:szCs w:val="20"/>
              </w:rPr>
              <w:t>≤ 8,0</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jednorodność pola, nieskorygowana (wg standardu NEMA):</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lang w:val="en-US"/>
              </w:rPr>
            </w:pPr>
            <w:r w:rsidRPr="00C43122">
              <w:rPr>
                <w:rFonts w:cs="Calibri"/>
                <w:sz w:val="20"/>
                <w:szCs w:val="20"/>
                <w:lang w:val="en-US"/>
              </w:rPr>
              <w:t>różniczkowa (UFOV) ≤ 3,0%</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rPr>
            </w:pPr>
            <w:r w:rsidRPr="00C43122">
              <w:rPr>
                <w:rFonts w:cs="Calibri"/>
                <w:sz w:val="20"/>
                <w:szCs w:val="20"/>
              </w:rPr>
              <w:t>całkowita (UFOV) ≤ 4,0%</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rPr>
            </w:pPr>
            <w:r w:rsidRPr="00C43122">
              <w:rPr>
                <w:rFonts w:cs="Calibri"/>
                <w:sz w:val="20"/>
                <w:szCs w:val="20"/>
              </w:rPr>
              <w:t>różniczkowa (CFOV) ≤ 2,5%</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rPr>
            </w:pPr>
            <w:r w:rsidRPr="00C43122">
              <w:rPr>
                <w:rFonts w:cs="Calibri"/>
                <w:sz w:val="20"/>
                <w:szCs w:val="20"/>
              </w:rPr>
              <w:t>całkowita (CFOV) ≤ 3,0%</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liniowość przestrzenna („Intrinsic Spatial Linearity”):</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r w:rsidRPr="00C43122">
              <w:rPr>
                <w:rFonts w:cs="Calibri"/>
                <w:sz w:val="20"/>
                <w:szCs w:val="20"/>
                <w:lang w:val="en-US"/>
              </w:rPr>
              <w:t>różniczkowa (CFOV) ≤ 0,2 mm</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r w:rsidRPr="00C43122">
              <w:rPr>
                <w:rFonts w:cs="Calibri"/>
                <w:sz w:val="20"/>
                <w:szCs w:val="20"/>
                <w:lang w:val="en-US"/>
              </w:rPr>
              <w:t>całkowita (CFOV) ≤ 0,5 mm</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r w:rsidRPr="00C43122">
              <w:rPr>
                <w:rFonts w:cs="Calibri"/>
                <w:sz w:val="20"/>
                <w:szCs w:val="20"/>
                <w:lang w:val="en-US"/>
              </w:rPr>
              <w:t>różniczkowa (UFOV) ≤ 0,2 mm</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r w:rsidRPr="00C43122">
              <w:rPr>
                <w:rFonts w:cs="Calibri"/>
                <w:sz w:val="20"/>
                <w:szCs w:val="20"/>
                <w:lang w:val="en-US"/>
              </w:rPr>
              <w:t>całkowita (UFOV) ≤ 0,7 mm</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Zakres energetyczny min 40 - 600 keV</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energetyczna zdolność rozdzielcza</w:t>
            </w:r>
          </w:p>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(wg standardu NEMA) ≤ 9,9 %</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 9,6% - 10 pkt</w:t>
            </w:r>
          </w:p>
          <w:p w:rsidR="00F40F2E" w:rsidRPr="00C43122" w:rsidRDefault="00F40F2E" w:rsidP="00C43122">
            <w:pPr>
              <w:jc w:val="center"/>
              <w:rPr>
                <w:rFonts w:cs="Calibri"/>
                <w:sz w:val="20"/>
                <w:szCs w:val="20"/>
              </w:rPr>
            </w:pPr>
            <w:r w:rsidRPr="00C43122">
              <w:rPr>
                <w:rFonts w:cs="Calibri"/>
                <w:sz w:val="20"/>
                <w:szCs w:val="20"/>
              </w:rPr>
              <w:t>&gt; 9,6 % - 0 pkt</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Kolimatory</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Kolimatory niskoenergetyczne wysokiej rozdzielczości (LEHR) - 2 sztuki </w:t>
            </w:r>
            <w:r w:rsidRPr="00C43122">
              <w:rPr>
                <w:rFonts w:cs="Calibri"/>
                <w:sz w:val="20"/>
                <w:szCs w:val="20"/>
              </w:rPr>
              <w:lastRenderedPageBreak/>
              <w:t>(po jednej sztuce do każdego z detektorów)</w:t>
            </w:r>
          </w:p>
        </w:tc>
        <w:tc>
          <w:tcPr>
            <w:tcW w:w="1975" w:type="dxa"/>
            <w:vAlign w:val="center"/>
          </w:tcPr>
          <w:p w:rsidR="00F40F2E" w:rsidRPr="00C43122" w:rsidRDefault="00F40F2E" w:rsidP="00C43122">
            <w:pPr>
              <w:spacing w:line="276" w:lineRule="auto"/>
              <w:ind w:left="708" w:hanging="708"/>
              <w:contextualSpacing/>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FFFFFF"/>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Kolimatory wysokoenergetyczne ogólnego stosowania (HEGP) – 2 sztuki (po jednej sztuce do każdego z detektorów)</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Kolimator typu pinhole umożliwiający poprawną akwizycje min. 99mTc, 131-I</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Czujniki sytuacji kolizyjnych blokujące ruchy głowic i stołu pacjenta.</w:t>
            </w:r>
          </w:p>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   zabezpieczenie pacjenta przed zetknięciem się z elementami konstrukcyjnymi podczas ich ruchu, sterowanego zarówno automatycznie jak i ręcznie.</w:t>
            </w:r>
          </w:p>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   system dotykowy zabezpieczenia pacjenta (mata dotykowa) przed kolizją z płaszczyzną kolimatora pokrywa całą powierzchnię pola widzenia, będąc integralną i nieodłączną częścią konstrukcją kolimatora</w:t>
            </w:r>
          </w:p>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system detekcji kolizji ciała pacjenta w podstacji bariery wiązki podczerwonej, będący częścią konstrukcyjną detektora, nie wymagający demontażu w przypadku wymiany kolimatora.</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Żaden element systemu bezpieczeństwa nie zintegrowany z kolimatorem nie wymaga demontażu w przypadku jego wymiany (np. system detekcji kolizji ciała pacjenta w postaci bariery wiązki podczerwonej).</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2039"/>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Wózki na kolimatory, jeden dla każdego zestawu kolimatorów  (jeśli wszystkie lub przynajmniej jeden kolimator jest przechowywany na wózkach)</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System szuflad na przynajmniej jedną parę oferowanych kolimatorów LEHR (Low Energy High Resolution), eliminujący konieczność użycia wózka do ich zdejmowania i zakładania.</w:t>
            </w:r>
          </w:p>
          <w:p w:rsidR="00F40F2E" w:rsidRPr="00C43122" w:rsidRDefault="00F40F2E" w:rsidP="00C43122">
            <w:pPr>
              <w:jc w:val="center"/>
              <w:rPr>
                <w:rFonts w:cs="Calibri"/>
                <w:sz w:val="20"/>
                <w:szCs w:val="20"/>
              </w:rPr>
            </w:pPr>
            <w:r w:rsidRPr="00C43122">
              <w:rPr>
                <w:rFonts w:cs="Calibri"/>
                <w:sz w:val="20"/>
                <w:szCs w:val="20"/>
              </w:rPr>
              <w:t>TAK = 1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rPr>
          <w:trHeight w:val="1624"/>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07E93">
            <w:pPr>
              <w:rPr>
                <w:rFonts w:cs="Calibri"/>
                <w:sz w:val="20"/>
                <w:szCs w:val="20"/>
              </w:rPr>
            </w:pPr>
            <w:r w:rsidRPr="00C43122">
              <w:rPr>
                <w:rFonts w:cs="Calibri"/>
                <w:sz w:val="20"/>
                <w:szCs w:val="20"/>
              </w:rPr>
              <w:t>Kolimatory dedykowane do badań kardiologicznych umożliwiające skrócenie akwizycji SPECT minimum do 5 min</w:t>
            </w:r>
          </w:p>
          <w:p w:rsidR="00F40F2E" w:rsidRPr="00C43122" w:rsidRDefault="00F40F2E" w:rsidP="00507E93">
            <w:pPr>
              <w:rPr>
                <w:rFonts w:cs="Calibri"/>
                <w:sz w:val="20"/>
                <w:szCs w:val="20"/>
              </w:rPr>
            </w:pPr>
            <w:r w:rsidRPr="00C43122">
              <w:rPr>
                <w:rFonts w:cs="Calibri"/>
                <w:sz w:val="20"/>
                <w:szCs w:val="20"/>
                <w:lang w:eastAsia="pl-PL"/>
              </w:rPr>
              <w:t xml:space="preserve">(dotyczy tylko </w:t>
            </w:r>
            <w:r w:rsidRPr="00C43122">
              <w:rPr>
                <w:rFonts w:cs="Calibri"/>
                <w:sz w:val="20"/>
                <w:szCs w:val="20"/>
              </w:rPr>
              <w:t>przypadku technologii kamery klasycznej)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p w:rsidR="00F40F2E" w:rsidRPr="00C43122" w:rsidRDefault="00F40F2E" w:rsidP="00C43122">
            <w:pPr>
              <w:jc w:val="center"/>
              <w:rPr>
                <w:rFonts w:cs="Calibri"/>
                <w:sz w:val="20"/>
                <w:szCs w:val="20"/>
              </w:rPr>
            </w:pP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2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rPr>
          <w:trHeight w:hRule="exact" w:val="2277"/>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System posiadający mechanizm automatycznej lub półautomatycznej wymiany kolimatorów. </w:t>
            </w:r>
          </w:p>
          <w:p w:rsidR="00F40F2E" w:rsidRPr="00C43122" w:rsidRDefault="00F40F2E" w:rsidP="004957D7">
            <w:pPr>
              <w:rPr>
                <w:rFonts w:cs="Calibri"/>
                <w:sz w:val="20"/>
                <w:szCs w:val="20"/>
              </w:rPr>
            </w:pPr>
            <w:r w:rsidRPr="00C43122">
              <w:rPr>
                <w:rFonts w:cs="Calibri"/>
                <w:sz w:val="20"/>
                <w:szCs w:val="20"/>
              </w:rPr>
              <w:t xml:space="preserve">Wymiana kolimatorów w pełni zautomatyzowana w znaczeniu braku jakichkolwiek czynności manualnych przy wózku, czy szufladach przy ich wymianie, a działanie ograniczają się do zadania na monitorze przy gantry określonego zlecenia dla systemu. </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1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rPr>
          <w:trHeight w:val="386"/>
        </w:trPr>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Łózko pacjenta (stół)</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Maksymalne dopuszczalne obciążenie stołu [kg]</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200,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Współczynnik pochłaniania dla ruchomego blatu stołu dla promieniowania gamma o energii 140 keV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&lt; 10,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Minimalna wysokość blatu stołu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60,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Zakres badania SPECT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&gt; 200,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C4BC96"/>
            <w:vAlign w:val="center"/>
          </w:tcPr>
          <w:p w:rsidR="00F40F2E" w:rsidRPr="00C43122" w:rsidRDefault="00F40F2E" w:rsidP="00C43122">
            <w:pPr>
              <w:pStyle w:val="Akapitzlist"/>
              <w:numPr>
                <w:ilvl w:val="0"/>
                <w:numId w:val="17"/>
              </w:numPr>
              <w:ind w:hanging="720"/>
              <w:rPr>
                <w:rFonts w:cs="Calibri"/>
                <w:sz w:val="20"/>
                <w:szCs w:val="20"/>
              </w:rPr>
            </w:pPr>
            <w:r w:rsidRPr="00C43122">
              <w:rPr>
                <w:rFonts w:cs="Calibri"/>
                <w:b/>
                <w:sz w:val="20"/>
                <w:szCs w:val="20"/>
              </w:rPr>
              <w:t>Akwizycja planarna</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Rozmiar dostępnych ramek [piksele x piksele] minimum</w:t>
            </w:r>
            <w:r w:rsidRPr="00C43122">
              <w:rPr>
                <w:rFonts w:cs="Calibri"/>
                <w:sz w:val="20"/>
                <w:szCs w:val="20"/>
              </w:rPr>
              <w:br/>
              <w:t>64x64, 128 x 128, 256 x 256, 512 x 512</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Badanie planarne  bramkowane sygnałem EKG</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Scyntygrafia całego ciała</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Obszar obrazowany na scyntygramie min. 50 cm x 200 cm</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Odwzorowanie konturu pacjenta „on line” w trakcie akwizycji całego ciała</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Tomografia emisyjna (SPECT i bramkowany SPECT)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Geometria ustawienia detektorów (dostępne kąty w badaniu SPECT – min. 180°, 90°) Funkcja śledzenia konturów pacjenta dla SPECT, aktywna zarówno dla ustawienia równoległego detektorów (180 °) jak i dla ustawienia detektorów pod kątem 90° względem siebie (np. dla badań kardiologicznych).</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 oferowany parametr</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Funkcja śledzenia konturów pacjenta dla SPECT, aktywna zarówno dla ustawienia równoległego detektorów (180 stopni) jak i dla ustawienia detektorów pod kątem 90 stopni względem siebie (np. dla badań </w:t>
            </w:r>
            <w:r w:rsidRPr="00C43122">
              <w:rPr>
                <w:rFonts w:cs="Calibri"/>
                <w:sz w:val="20"/>
                <w:szCs w:val="20"/>
              </w:rPr>
              <w:lastRenderedPageBreak/>
              <w:t>kardiologicznych).</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jednoczasowej rejestracji /akwizycji danych SPECT bramkowanych i niebramkowanych.</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Akwizycja SPECT w trybach:</w:t>
            </w:r>
          </w:p>
          <w:p w:rsidR="00F40F2E" w:rsidRPr="00C43122" w:rsidRDefault="00F40F2E" w:rsidP="005629EB">
            <w:pPr>
              <w:rPr>
                <w:rFonts w:cs="Calibri"/>
                <w:sz w:val="20"/>
                <w:szCs w:val="20"/>
              </w:rPr>
            </w:pPr>
            <w:r w:rsidRPr="00C43122">
              <w:rPr>
                <w:rFonts w:cs="Calibri"/>
                <w:sz w:val="20"/>
                <w:szCs w:val="20"/>
              </w:rPr>
              <w:t>- step and shot (zatrzymanie i rejestracja ramki)</w:t>
            </w:r>
          </w:p>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continous (rejestracja ramek podczas ruchu gantry)</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Acquire during step (rejestracja ramki podczas zatrzymania i obrotu gantry)</w:t>
            </w:r>
          </w:p>
          <w:p w:rsidR="00F40F2E" w:rsidRPr="00C43122" w:rsidRDefault="00F40F2E" w:rsidP="00C43122">
            <w:pPr>
              <w:jc w:val="center"/>
              <w:rPr>
                <w:rFonts w:cs="Calibri"/>
                <w:sz w:val="20"/>
                <w:szCs w:val="20"/>
              </w:rPr>
            </w:pPr>
            <w:r w:rsidRPr="00C43122">
              <w:rPr>
                <w:rFonts w:cs="Calibri"/>
                <w:sz w:val="20"/>
                <w:szCs w:val="20"/>
              </w:rPr>
              <w:t>Tak = 1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252BDF">
            <w:pPr>
              <w:rPr>
                <w:rFonts w:cs="Calibri"/>
                <w:sz w:val="20"/>
                <w:szCs w:val="20"/>
              </w:rPr>
            </w:pPr>
            <w:r w:rsidRPr="00C43122">
              <w:rPr>
                <w:rFonts w:cs="Calibri"/>
                <w:sz w:val="20"/>
                <w:szCs w:val="20"/>
              </w:rPr>
              <w:t>System bramkowania sygnałem EKG, służący do wykonywania badania w trybie GATED SPECT. Wyprowadzenie kabla EKG pacjenta bezpośrednio z gniazda przyłączeniowego umieszczonego w poruszającym się blacie stołu.</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System akwizycji danych (Stacja akwizycyjna)System akwizycyjny</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System akwizycyjny wraz z oprogramowaniem obsługujący gamma kamery i skanera CT, umożliwiający wykonywanie scyntygraficznych badań planarnych (statycznych i dynamicznych), SPECT, SPECT/CT ,bramkowanych SPECT (Gated-SPECT), badań scyntygraficznych całego ciała oraz badań spiralnych CT</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FFFFFF"/>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252BDF">
            <w:pPr>
              <w:rPr>
                <w:rFonts w:cs="Calibri"/>
                <w:sz w:val="20"/>
                <w:szCs w:val="20"/>
              </w:rPr>
            </w:pPr>
            <w:r w:rsidRPr="00C43122">
              <w:rPr>
                <w:rFonts w:cs="Calibri"/>
                <w:sz w:val="20"/>
                <w:szCs w:val="20"/>
              </w:rPr>
              <w:t>Jeden system ze wspólnym interfejsem użytkownika, sterujący procesem akwizycji badań SPECT i CT, pozwalający na prezentację badań SPECT i CT, pracujący w systemie „dual-monitor” z 2 monitorami do zastosowań medycznych, każdy o przekątnej ekranu  ≥ 19”, z twardym dyskiem lub dyskami o łącznej pojemności fizycznej min. 2 TB.</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Stacja akwizycyjna o pojemności twardych dysków minimum 5 TB - 1 pkt</w:t>
            </w:r>
          </w:p>
          <w:p w:rsidR="00F40F2E" w:rsidRPr="00C43122" w:rsidRDefault="00F40F2E" w:rsidP="00C43122">
            <w:pPr>
              <w:jc w:val="center"/>
              <w:rPr>
                <w:rFonts w:cs="Calibri"/>
                <w:sz w:val="20"/>
                <w:szCs w:val="20"/>
              </w:rPr>
            </w:pPr>
            <w:r w:rsidRPr="00C43122">
              <w:rPr>
                <w:rFonts w:cs="Calibri"/>
                <w:sz w:val="20"/>
                <w:szCs w:val="20"/>
              </w:rPr>
              <w:t>Pojemność graniczna - 0 pkt</w:t>
            </w:r>
          </w:p>
          <w:p w:rsidR="00F40F2E" w:rsidRPr="00C43122" w:rsidRDefault="00F40F2E" w:rsidP="00C43122">
            <w:pPr>
              <w:jc w:val="center"/>
              <w:rPr>
                <w:rFonts w:cs="Calibri"/>
                <w:sz w:val="20"/>
                <w:szCs w:val="20"/>
              </w:rPr>
            </w:pPr>
          </w:p>
        </w:tc>
      </w:tr>
      <w:tr w:rsidR="00F40F2E" w:rsidRPr="00C43122" w:rsidTr="00C43122">
        <w:tc>
          <w:tcPr>
            <w:tcW w:w="567" w:type="dxa"/>
            <w:shd w:val="clear" w:color="auto" w:fill="FFFFFF"/>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Wprowadzanie danych kolejnych pacjentów w trakcie trwania bieżącej akwizycji.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FFFFFF"/>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pStyle w:val="Zawartotabeli"/>
              <w:snapToGrid w:val="0"/>
              <w:spacing w:before="60" w:after="60"/>
              <w:rPr>
                <w:rFonts w:ascii="Calibri" w:hAnsi="Calibri" w:cs="Calibri"/>
                <w:kern w:val="0"/>
                <w:sz w:val="20"/>
                <w:szCs w:val="20"/>
                <w:lang w:eastAsia="en-US"/>
              </w:rPr>
            </w:pPr>
            <w:r w:rsidRPr="00C43122">
              <w:rPr>
                <w:rFonts w:ascii="Calibri" w:hAnsi="Calibri" w:cs="Calibri"/>
                <w:kern w:val="0"/>
                <w:sz w:val="20"/>
                <w:szCs w:val="20"/>
                <w:lang w:eastAsia="en-US"/>
              </w:rPr>
              <w:t xml:space="preserve">Automatyczna kontrola jakości – bez udziału użytkownika, zlecana na określoną godzinę do wykonania przez system, z automatycznym zdjęciem i założeniem wymaganych kolimatorów. </w:t>
            </w:r>
            <w:r w:rsidRPr="00C43122">
              <w:rPr>
                <w:rFonts w:ascii="Calibri" w:hAnsi="Calibri" w:cs="Calibri"/>
                <w:kern w:val="0"/>
                <w:sz w:val="20"/>
                <w:szCs w:val="20"/>
                <w:u w:val="single"/>
                <w:lang w:eastAsia="en-US"/>
              </w:rPr>
              <w:t xml:space="preserve">Z dostawą w czasie trwania gwarancji źródeł długożyciowych  </w:t>
            </w:r>
            <w:r w:rsidRPr="00C43122">
              <w:rPr>
                <w:rFonts w:ascii="Calibri" w:hAnsi="Calibri" w:cs="Calibri"/>
                <w:kern w:val="0"/>
                <w:sz w:val="20"/>
                <w:szCs w:val="20"/>
                <w:lang w:eastAsia="en-US"/>
              </w:rPr>
              <w:t>(przechowywanych w łóżku pacjenta między procedurami kontrolnymi z ich użyciem) w określonym przez użytkownika terminie.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Tak- 5 pkt</w:t>
            </w:r>
          </w:p>
          <w:p w:rsidR="00F40F2E" w:rsidRPr="00C43122" w:rsidRDefault="00F40F2E" w:rsidP="00C43122">
            <w:pPr>
              <w:jc w:val="center"/>
              <w:rPr>
                <w:rFonts w:cs="Calibri"/>
                <w:sz w:val="20"/>
                <w:szCs w:val="20"/>
              </w:rPr>
            </w:pPr>
            <w:r w:rsidRPr="00C43122">
              <w:rPr>
                <w:rFonts w:cs="Calibri"/>
                <w:sz w:val="20"/>
                <w:szCs w:val="20"/>
              </w:rPr>
              <w:t xml:space="preserve">Nie – 0 pkt </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Komunikacja sieciowa (Ethernet) poprzez protokół DICOM z obsługą poniższych klas:</w:t>
            </w:r>
          </w:p>
          <w:p w:rsidR="00F40F2E" w:rsidRPr="00C43122" w:rsidRDefault="00F40F2E" w:rsidP="00C43122">
            <w:pPr>
              <w:numPr>
                <w:ilvl w:val="0"/>
                <w:numId w:val="1"/>
              </w:numPr>
              <w:suppressAutoHyphens/>
              <w:spacing w:after="0" w:line="276" w:lineRule="auto"/>
              <w:contextualSpacing/>
              <w:rPr>
                <w:rFonts w:cs="Calibri"/>
                <w:sz w:val="20"/>
                <w:szCs w:val="20"/>
              </w:rPr>
            </w:pPr>
            <w:r w:rsidRPr="00C43122">
              <w:rPr>
                <w:rFonts w:cs="Calibri"/>
                <w:sz w:val="20"/>
                <w:szCs w:val="20"/>
              </w:rPr>
              <w:t>wysyłanie badań</w:t>
            </w:r>
          </w:p>
          <w:p w:rsidR="00F40F2E" w:rsidRPr="00C43122" w:rsidRDefault="00F40F2E" w:rsidP="00C43122">
            <w:pPr>
              <w:numPr>
                <w:ilvl w:val="0"/>
                <w:numId w:val="1"/>
              </w:numPr>
              <w:suppressAutoHyphens/>
              <w:spacing w:after="0" w:line="276" w:lineRule="auto"/>
              <w:contextualSpacing/>
              <w:rPr>
                <w:rFonts w:cs="Calibri"/>
                <w:sz w:val="20"/>
                <w:szCs w:val="20"/>
              </w:rPr>
            </w:pPr>
            <w:r w:rsidRPr="00C43122">
              <w:rPr>
                <w:rFonts w:cs="Calibri"/>
                <w:sz w:val="20"/>
                <w:szCs w:val="20"/>
              </w:rPr>
              <w:t>otrzymywanie listy roboczej</w:t>
            </w:r>
          </w:p>
          <w:p w:rsidR="00F40F2E" w:rsidRPr="00C43122" w:rsidRDefault="00F40F2E" w:rsidP="00C43122">
            <w:pPr>
              <w:numPr>
                <w:ilvl w:val="0"/>
                <w:numId w:val="1"/>
              </w:numPr>
              <w:suppressAutoHyphens/>
              <w:spacing w:after="0" w:line="276" w:lineRule="auto"/>
              <w:contextualSpacing/>
              <w:rPr>
                <w:rFonts w:cs="Calibri"/>
                <w:sz w:val="20"/>
                <w:szCs w:val="20"/>
              </w:rPr>
            </w:pPr>
            <w:r w:rsidRPr="00C43122">
              <w:rPr>
                <w:rFonts w:cs="Calibri"/>
                <w:sz w:val="20"/>
                <w:szCs w:val="20"/>
              </w:rPr>
              <w:t>zapytanie o badania</w:t>
            </w:r>
          </w:p>
          <w:p w:rsidR="00F40F2E" w:rsidRPr="00C43122" w:rsidRDefault="00F40F2E" w:rsidP="00C43122">
            <w:pPr>
              <w:numPr>
                <w:ilvl w:val="0"/>
                <w:numId w:val="1"/>
              </w:numPr>
              <w:suppressAutoHyphens/>
              <w:spacing w:after="0" w:line="276" w:lineRule="auto"/>
              <w:contextualSpacing/>
              <w:rPr>
                <w:rFonts w:cs="Calibri"/>
                <w:strike/>
                <w:sz w:val="20"/>
                <w:szCs w:val="20"/>
              </w:rPr>
            </w:pPr>
            <w:r w:rsidRPr="00C43122">
              <w:rPr>
                <w:rFonts w:cs="Calibri"/>
                <w:sz w:val="20"/>
                <w:szCs w:val="20"/>
              </w:rPr>
              <w:t>drukowanie</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Wykonywanie kalibracji gammakamera przez użytkownika (kalibracja jednorodności bez kolimatora, kalibracja jednorodności z kolimatorem,  kalibracja centrum rotacji,  kalibracja okna energetycznego, kalibracja fotopowielaczy)</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Wykonywanie kontroli jakości gamma kamery przez użytkownika</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Archiwizacja wybranych badań na nośniku CD lub DVD w formacie DICOM 3.0, wraz z DICOMDIR i przeglądarką badań</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System opracowywania danych SPECT / CT – jeden do obu aparatów; serwer oraz 4 stacje klienckie</w:t>
            </w:r>
          </w:p>
        </w:tc>
      </w:tr>
      <w:tr w:rsidR="00F40F2E" w:rsidRPr="00C43122" w:rsidTr="00C43122">
        <w:trPr>
          <w:trHeight w:val="370"/>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Stacje robocze (opisowe) w technologii serwer/klient, zgodne z aktualnymi wymaganiami prawnymi (4 sztuki)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Stanowisko lekarskie dwumonitorowe - konsola kliencka serwera aplikacyjnego, każde wyposażone w:</w:t>
            </w:r>
          </w:p>
          <w:p w:rsidR="00F40F2E" w:rsidRPr="00C43122" w:rsidRDefault="00F40F2E" w:rsidP="00C43122">
            <w:pPr>
              <w:numPr>
                <w:ilvl w:val="0"/>
                <w:numId w:val="13"/>
              </w:numPr>
              <w:spacing w:after="0" w:line="240" w:lineRule="auto"/>
              <w:ind w:left="430" w:hanging="283"/>
              <w:rPr>
                <w:rFonts w:cs="Calibri"/>
                <w:sz w:val="20"/>
                <w:szCs w:val="20"/>
              </w:rPr>
            </w:pPr>
            <w:r w:rsidRPr="00C43122">
              <w:rPr>
                <w:rFonts w:cs="Calibri"/>
                <w:sz w:val="20"/>
                <w:szCs w:val="20"/>
              </w:rPr>
              <w:t>dwa kolorowe monitory diagnostyczne o przekątnej min. 24” (min rozdzielczości 1920 x 1200 pikseli)</w:t>
            </w:r>
          </w:p>
          <w:p w:rsidR="00F40F2E" w:rsidRPr="00C43122" w:rsidRDefault="00F40F2E" w:rsidP="00C43122">
            <w:pPr>
              <w:numPr>
                <w:ilvl w:val="0"/>
                <w:numId w:val="13"/>
              </w:numPr>
              <w:spacing w:after="0" w:line="240" w:lineRule="auto"/>
              <w:ind w:left="430" w:hanging="283"/>
              <w:rPr>
                <w:rFonts w:cs="Calibri"/>
                <w:sz w:val="20"/>
                <w:szCs w:val="20"/>
              </w:rPr>
            </w:pPr>
            <w:r w:rsidRPr="00C43122">
              <w:rPr>
                <w:rFonts w:cs="Calibri"/>
                <w:sz w:val="20"/>
                <w:szCs w:val="20"/>
              </w:rPr>
              <w:t>jeden monitor do opisów o przekątnej min. 19”, komputer PC wyposażony w min. 16 GB RAM, dysk SSD min. 250 GB</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Komunikacja sieciowa poprzez protokół DICOM  (wysyłanie i otrzymywanie badań oraz przechowywanie obrazów)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Oprogramowanie aplikacyjne</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Realizacja rekonstrukcji typu FBP (Filter Back Projection), OSEM2D i OSEM3D oraz korekcji:  SC i AC na stacjach lekarskich lub na stacji akwizycyjnej skanerów</w:t>
            </w:r>
          </w:p>
        </w:tc>
        <w:tc>
          <w:tcPr>
            <w:tcW w:w="1975" w:type="dxa"/>
            <w:vAlign w:val="center"/>
          </w:tcPr>
          <w:p w:rsidR="00F40F2E" w:rsidRPr="00C43122" w:rsidRDefault="00F40F2E" w:rsidP="00B63E97">
            <w:pPr>
              <w:jc w:val="center"/>
              <w:rPr>
                <w:rFonts w:cs="Calibri"/>
                <w:sz w:val="20"/>
                <w:szCs w:val="20"/>
              </w:rPr>
            </w:pPr>
            <w:r w:rsidRPr="00C43122">
              <w:rPr>
                <w:rFonts w:cs="Calibri"/>
                <w:sz w:val="20"/>
                <w:szCs w:val="20"/>
              </w:rPr>
              <w:t>TAK,</w:t>
            </w:r>
            <w:r w:rsidR="00B63E97">
              <w:rPr>
                <w:rFonts w:cs="Calibri"/>
                <w:sz w:val="20"/>
                <w:szCs w:val="20"/>
              </w:rPr>
              <w:t xml:space="preserve"> </w:t>
            </w:r>
            <w:r w:rsidRPr="00C43122">
              <w:rPr>
                <w:rFonts w:cs="Calibri"/>
                <w:sz w:val="20"/>
                <w:szCs w:val="20"/>
              </w:rPr>
              <w:t>podać miejsce realizacji</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Oprogramowanie aplikacyjne do opracowania wszystkich badań diagnostycznych z zakresu scyntygrafii i SPECT/CT wykonywanych w Zakładzie, z możliwością tworzenia raportów z ich opisami. Automatyczny/ręczny import badań poprzednich z archiwum PACS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p w:rsidR="00F40F2E" w:rsidRPr="00C43122" w:rsidRDefault="00F40F2E" w:rsidP="00C43122">
            <w:pPr>
              <w:jc w:val="center"/>
              <w:rPr>
                <w:rFonts w:cs="Calibri"/>
                <w:sz w:val="20"/>
                <w:szCs w:val="20"/>
              </w:rPr>
            </w:pPr>
            <w:r w:rsidRPr="00C43122">
              <w:rPr>
                <w:rFonts w:cs="Calibri"/>
                <w:sz w:val="20"/>
                <w:szCs w:val="20"/>
              </w:rPr>
              <w:t>podać typ importu</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Import automatyczny: 1pkt</w:t>
            </w:r>
          </w:p>
          <w:p w:rsidR="00F40F2E" w:rsidRPr="00C43122" w:rsidRDefault="00F40F2E" w:rsidP="00C43122">
            <w:pPr>
              <w:jc w:val="center"/>
              <w:rPr>
                <w:rFonts w:cs="Calibri"/>
                <w:sz w:val="20"/>
                <w:szCs w:val="20"/>
              </w:rPr>
            </w:pPr>
            <w:r w:rsidRPr="00C43122">
              <w:rPr>
                <w:rFonts w:cs="Calibri"/>
                <w:sz w:val="20"/>
                <w:szCs w:val="20"/>
              </w:rPr>
              <w:t>Import ręczny: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Oprogramowanie pozwalające na zaawansowaną wizualizację trójwymiarową (3D ) dla SPECT, CT i fuzji SPECT/CT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Oprogramowanie pozwalające na rejestrację (fuzję) obrazów z zakresu medycyny nuklearnej oraz obrazów CT lub MR (Rejestracja automatyczna oraz z możliwością interwencji użytkownika)</w:t>
            </w:r>
          </w:p>
          <w:p w:rsidR="00F40F2E" w:rsidRPr="00C43122" w:rsidRDefault="00F40F2E" w:rsidP="001C3FC0">
            <w:pPr>
              <w:rPr>
                <w:rFonts w:cs="Calibri"/>
                <w:sz w:val="20"/>
                <w:szCs w:val="20"/>
              </w:rPr>
            </w:pPr>
            <w:r w:rsidRPr="00C43122">
              <w:rPr>
                <w:rFonts w:cs="Calibri"/>
                <w:sz w:val="20"/>
                <w:szCs w:val="20"/>
              </w:rPr>
              <w:t xml:space="preserve">Automatyczna synchronizacja wyświetlanych serii badania niezależna od </w:t>
            </w:r>
            <w:r w:rsidRPr="00C43122">
              <w:rPr>
                <w:rFonts w:cs="Calibri"/>
                <w:sz w:val="20"/>
                <w:szCs w:val="20"/>
              </w:rPr>
              <w:lastRenderedPageBreak/>
              <w:t>grubości warstw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Środowisko programistyczne dające użytkownikowi możliwość tworzenia własnych protokołów opracowania badań</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622FA9">
            <w:pPr>
              <w:rPr>
                <w:rFonts w:cs="Calibri"/>
                <w:sz w:val="20"/>
                <w:szCs w:val="20"/>
              </w:rPr>
            </w:pPr>
            <w:r w:rsidRPr="00C43122">
              <w:rPr>
                <w:rFonts w:cs="Calibri"/>
                <w:sz w:val="20"/>
                <w:szCs w:val="20"/>
              </w:rPr>
              <w:t xml:space="preserve">Oprogramowanie do oceny ilościowej: Pakiet oprogramowania do oceny wychwytu radioznacznika (także dla izotopów innych niż </w:t>
            </w:r>
            <w:r w:rsidRPr="00C43122">
              <w:rPr>
                <w:rFonts w:cs="Calibri"/>
                <w:sz w:val="20"/>
                <w:szCs w:val="20"/>
                <w:vertAlign w:val="superscript"/>
              </w:rPr>
              <w:t>99m</w:t>
            </w:r>
            <w:r w:rsidRPr="00C43122">
              <w:rPr>
                <w:rFonts w:cs="Calibri"/>
                <w:sz w:val="20"/>
                <w:szCs w:val="20"/>
              </w:rPr>
              <w:t xml:space="preserve">Tc, minimum </w:t>
            </w:r>
            <w:r w:rsidRPr="00C43122">
              <w:rPr>
                <w:rFonts w:cs="Calibri"/>
                <w:sz w:val="20"/>
                <w:szCs w:val="20"/>
                <w:vertAlign w:val="superscript"/>
              </w:rPr>
              <w:t>201</w:t>
            </w:r>
            <w:r w:rsidRPr="00C43122">
              <w:rPr>
                <w:rFonts w:cs="Calibri"/>
                <w:sz w:val="20"/>
                <w:szCs w:val="20"/>
              </w:rPr>
              <w:t xml:space="preserve">Tl, </w:t>
            </w:r>
            <w:r w:rsidRPr="00C43122">
              <w:rPr>
                <w:rFonts w:cs="Calibri"/>
                <w:sz w:val="20"/>
                <w:szCs w:val="20"/>
                <w:vertAlign w:val="superscript"/>
              </w:rPr>
              <w:t>111</w:t>
            </w:r>
            <w:r w:rsidRPr="00C43122">
              <w:rPr>
                <w:rFonts w:cs="Calibri"/>
                <w:sz w:val="20"/>
                <w:szCs w:val="20"/>
              </w:rPr>
              <w:t xml:space="preserve">In, </w:t>
            </w:r>
            <w:r w:rsidRPr="00C43122">
              <w:rPr>
                <w:rFonts w:cs="Calibri"/>
                <w:sz w:val="20"/>
                <w:szCs w:val="20"/>
                <w:vertAlign w:val="superscript"/>
              </w:rPr>
              <w:t>123</w:t>
            </w:r>
            <w:r w:rsidRPr="00C43122">
              <w:rPr>
                <w:rFonts w:cs="Calibri"/>
                <w:sz w:val="20"/>
                <w:szCs w:val="20"/>
              </w:rPr>
              <w:t xml:space="preserve">I, </w:t>
            </w:r>
            <w:r w:rsidRPr="00C43122">
              <w:rPr>
                <w:rFonts w:cs="Calibri"/>
                <w:sz w:val="20"/>
                <w:szCs w:val="20"/>
                <w:vertAlign w:val="superscript"/>
              </w:rPr>
              <w:t>131</w:t>
            </w:r>
            <w:r w:rsidRPr="00C43122">
              <w:rPr>
                <w:rFonts w:cs="Calibri"/>
                <w:sz w:val="20"/>
                <w:szCs w:val="20"/>
              </w:rPr>
              <w:t xml:space="preserve">I, and </w:t>
            </w:r>
            <w:r w:rsidRPr="00C43122">
              <w:rPr>
                <w:rFonts w:cs="Calibri"/>
                <w:sz w:val="20"/>
                <w:szCs w:val="20"/>
                <w:vertAlign w:val="superscript"/>
              </w:rPr>
              <w:t>67</w:t>
            </w:r>
            <w:r w:rsidRPr="00C43122">
              <w:rPr>
                <w:rFonts w:cs="Calibri"/>
                <w:sz w:val="20"/>
                <w:szCs w:val="20"/>
              </w:rPr>
              <w:t>Ga) w zmianach chorobowych lub dowolnych narządach. Automatyczna segmentacja obrazów SPECT i CT w oparciu o próg liczby zliczeń oraz liczby Hounsfielda (HU) dla określenia obszarów zainteresowania i obliczenia objętości zainteresowania do pomiarów wychwytu fizjologicznego i patologicznego znacznika (izotopu). W rezultacie uzyskanie  wartości SPECT, która pozwala monitorować odpowiedź na leczenie zmian w pojedynczym badaniu a także pozwala na porównanie badań wykonanych w odstępie czasu (follow-up)</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55062">
            <w:pPr>
              <w:rPr>
                <w:rFonts w:cs="Calibri"/>
                <w:sz w:val="20"/>
                <w:szCs w:val="20"/>
              </w:rPr>
            </w:pPr>
            <w:r w:rsidRPr="00C43122">
              <w:rPr>
                <w:rFonts w:cs="Calibri"/>
                <w:sz w:val="20"/>
                <w:szCs w:val="20"/>
              </w:rPr>
              <w:t xml:space="preserve">Oprogramowanie wspomagające lekarza klinicystę w przeprowadzeniu oceny ilościowej zmian patologicznych mózgu na obrazach uzyskanych z aparatów SPECT, SPECT-CT. Zapewniające: 1) automatyczną rejestrację następujących po sobie badań; 2) detekcja i korekcja ruchów pacjenta; 3) zmiany parametrów rekonstrukcji w trakcie analizy badań; 4) kontrola jakości nałożenia badań SPECT na CT. Oprogramowanie powinno dokonywać automatycznej analizy poprzez ocenę wychwytu radiofarmaceutyku i porównywać wartości do odpowiadającej bazy normatywnej (minimum HMPAO, ECD). Analiza obrazu odbywać się powinna poprzez wystandaryzowanie osobniczego kształtu mózgu badanego pacjenta do standardowego atlasu przy zachowaniu pełnych informacji uzyskanych z badania SPECT. Możliwości dopasowania badania SPECT do badań MR oraz ich fuzji powinny umożliwiać </w:t>
            </w:r>
            <w:r w:rsidRPr="00C43122">
              <w:rPr>
                <w:rFonts w:cs="Calibri"/>
                <w:sz w:val="20"/>
                <w:szCs w:val="20"/>
              </w:rPr>
              <w:lastRenderedPageBreak/>
              <w:t>powiązanie danych funkcjonalnych z anatomicznymi oraz uwidocznienie zmian strukturalnych. Możliwość wyświetlenia wyników w postaci stereotaktycznej projekcji powierzchniowej z około 1,5 cm grubości warstwy. Oprogramowanie umożliwiać powinno ocenę nieprawidłowości klinicznych takich jak: napady padaczkowe, demencja, choroba Alzheimera, demencja naczyniowa, demencja czołowo-skroniowa, zapalenia, śmierć mózgową, choroby naczyniowo-mózgowe takie jak udar, przewlekłe i nagłe niedokrwienia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Oprogramowanie umożliwiające przetwarzanie i analizę wolumetryczną badań płuc z systemów SPECT i hybrydowych SPECT/CT, zapewniające: 1) automatyczną rejestrację oraz fuzję badań perfuzyjnych/wentylacyjnych/CT oraz CT angio płuc; 2) segmentację struktury dwóch i trzech płatów płucnych w oparciu o obraz CT przez wykreślenie trzech linii granicznych płatów na obrazie CT; 3) korekcja klirensu w badaniach wentylacyjnych Tc-DTPA; 4) detekcja i korekcja ruchów pacjenta; 5) zmiany parametrów rekonstrukcji w trakcie analizy badań; 6) kontrola jakości nałożenia badań SPECT na CT; 7) wykorzystanie jednego badania CT do obu badań wentylacji i perfuzji; 8) akceptuje do analizy badania wentylacji/perfuzji różnymi izotopami (technet/krypton); 9) automatyczne lub półautomatyczne usuwanie ognisk gorących wynikających z punktowych skupisk aerozolu. Aplikacja zapewniająca możliwość przetwarzania, oceny ilościowej oraz wyświetlania obrazów wielowymiarowych scyntygrafii płuc dając możliwość oceny wizualnej i ilościowej badań wentylacyjnych i perfuzyjnych. Powinna dawać możliwość oceny połączonych badań wentylacyjnych i perfuzyjnych tak aby wskazać miejsca ubytków przepływu krwi powiązane z ubytkami wentylacji. Oprogramowanie </w:t>
            </w:r>
            <w:r w:rsidRPr="00C43122">
              <w:rPr>
                <w:rFonts w:cs="Calibri"/>
                <w:sz w:val="20"/>
                <w:szCs w:val="20"/>
              </w:rPr>
              <w:lastRenderedPageBreak/>
              <w:t>powinno dawać lekarzowi możliwość diagnozy zatoru tętnicy płucnej. Powinno zapewniać ocenę funkcji w płatach oraz całym obszarze płuc w przedoperacyjnym prognozowaniu wydolności oddechowej płuc po lobektomii i pneunomektomii.</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lastRenderedPageBreak/>
              <w:t>TAK / 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10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bookmarkStart w:id="0" w:name="_Hlk496001360"/>
            <w:r w:rsidRPr="00C43122">
              <w:rPr>
                <w:rFonts w:cs="Calibri"/>
                <w:sz w:val="20"/>
                <w:szCs w:val="20"/>
              </w:rPr>
              <w:t>Oprogramowanie dające możliwość oceny wizualnej i ilościowej obrazów 123I-ioflupane, porównanie ich do bazy normatywnej. Oprogramowania powinno wspomagać wykrywanie ubytków w funkcji układu dopaminergicznego struktur prążkowia, które powiązane są z chorobą Parkinsona</w:t>
            </w:r>
            <w:bookmarkEnd w:id="0"/>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Możliwość ręcznej korekty nałożenia obrazów CT i SPECT dostępna bezpośrednio z aplikacji klinicznych na stacji opisowej we wszystkich trzech płaszczyznach - przesunięcia oraz obroty</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Możliwość zmiany parametrów rekonstrukcyjnych na stacji opisowej (rodzaj rekonstrukcji, liczba iteracji, liczba subset’ów, filtry, rekonstrukcja z korekcją rozproszeń / bez korekcji, z korekcją atenuacji / bez korekcji) dostępne bezpośrednio z aplikacji klinicznych bez zamykania otwartego badania danego pacjenta.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 xml:space="preserve">Analiza ilościowa badań SPECT, SPECT/CT perfuzji  serca ( w tym bramkowany SPECT serca) wraz z normatywnymi bazami danych.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opisać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Analiza ilościowa bramkowanych badań techniką planarną i SPECT (wentrykulografia)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Analiza frakcji wyrzutowej woreczka żółciowego</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FFFFFF"/>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shd w:val="clear" w:color="auto" w:fill="FFFFFF"/>
            <w:vAlign w:val="center"/>
          </w:tcPr>
          <w:p w:rsidR="00F40F2E" w:rsidRPr="00C43122" w:rsidRDefault="00F40F2E" w:rsidP="001C3FC0">
            <w:pPr>
              <w:rPr>
                <w:rFonts w:cs="Calibri"/>
                <w:sz w:val="20"/>
                <w:szCs w:val="20"/>
              </w:rPr>
            </w:pPr>
            <w:r w:rsidRPr="00C43122">
              <w:rPr>
                <w:rFonts w:cs="Calibri"/>
                <w:sz w:val="20"/>
                <w:szCs w:val="20"/>
              </w:rPr>
              <w:t>Analiza ilościowa scyntygrafii perfuzyjnej i wentylacyjnej płuc technika planarną</w:t>
            </w:r>
          </w:p>
        </w:tc>
        <w:tc>
          <w:tcPr>
            <w:tcW w:w="1975" w:type="dxa"/>
            <w:shd w:val="clear" w:color="auto" w:fill="FFFFFF"/>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shd w:val="clear" w:color="auto" w:fill="FFFFFF"/>
            <w:vAlign w:val="center"/>
          </w:tcPr>
          <w:p w:rsidR="00F40F2E" w:rsidRPr="00C43122" w:rsidRDefault="00F40F2E" w:rsidP="00C43122">
            <w:pPr>
              <w:jc w:val="center"/>
              <w:rPr>
                <w:rFonts w:cs="Calibri"/>
                <w:sz w:val="20"/>
                <w:szCs w:val="20"/>
              </w:rPr>
            </w:pPr>
          </w:p>
        </w:tc>
        <w:tc>
          <w:tcPr>
            <w:tcW w:w="3260" w:type="dxa"/>
            <w:shd w:val="clear" w:color="auto" w:fill="FFFFFF"/>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FFFFFF"/>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shd w:val="clear" w:color="auto" w:fill="FFFFFF"/>
            <w:vAlign w:val="center"/>
          </w:tcPr>
          <w:p w:rsidR="00F40F2E" w:rsidRPr="00C43122" w:rsidRDefault="00F40F2E" w:rsidP="001C3FC0">
            <w:pPr>
              <w:rPr>
                <w:rFonts w:cs="Calibri"/>
                <w:sz w:val="20"/>
                <w:szCs w:val="20"/>
              </w:rPr>
            </w:pPr>
            <w:r w:rsidRPr="00C43122">
              <w:rPr>
                <w:rFonts w:cs="Calibri"/>
                <w:sz w:val="20"/>
                <w:szCs w:val="20"/>
              </w:rPr>
              <w:t xml:space="preserve">Możliwość jakościowego porównania badań perfuzji serca SPECT do oceny żywotności serca PET (18F-FDG) </w:t>
            </w:r>
          </w:p>
        </w:tc>
        <w:tc>
          <w:tcPr>
            <w:tcW w:w="1975" w:type="dxa"/>
            <w:shd w:val="clear" w:color="auto" w:fill="FFFFFF"/>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shd w:val="clear" w:color="auto" w:fill="FFFFFF"/>
            <w:vAlign w:val="center"/>
          </w:tcPr>
          <w:p w:rsidR="00F40F2E" w:rsidRPr="00C43122" w:rsidRDefault="00F40F2E" w:rsidP="00C43122">
            <w:pPr>
              <w:jc w:val="center"/>
              <w:rPr>
                <w:rFonts w:cs="Calibri"/>
                <w:sz w:val="20"/>
                <w:szCs w:val="20"/>
              </w:rPr>
            </w:pPr>
          </w:p>
        </w:tc>
        <w:tc>
          <w:tcPr>
            <w:tcW w:w="3260" w:type="dxa"/>
            <w:shd w:val="clear" w:color="auto" w:fill="FFFFFF"/>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Uniwersalne narzędzia do ilościowej analizy badań planarnych, SPECT, SPECT/CT). Arytmetyka ROI, VOI, FWHM, tworzenie histogramu etc.</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Arial"/>
                <w:sz w:val="20"/>
                <w:szCs w:val="20"/>
                <w:lang w:eastAsia="pl-PL"/>
              </w:rPr>
              <w:t>Rekonstrukcja badań planarnych z zastosowaniem oprogramowania typu „Resolution Recovery". Umożliwiające skrócenie czasu badania lub zmniejszenia  aktywności radiofarmaceutyku podanej pacjentowi.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4957D7">
            <w:pPr>
              <w:rPr>
                <w:rFonts w:cs="Arial"/>
                <w:color w:val="000000"/>
                <w:sz w:val="20"/>
                <w:szCs w:val="20"/>
                <w:lang w:eastAsia="pl-PL"/>
              </w:rPr>
            </w:pPr>
            <w:r w:rsidRPr="00C43122">
              <w:rPr>
                <w:rFonts w:cs="Arial"/>
                <w:color w:val="000000"/>
                <w:sz w:val="20"/>
                <w:szCs w:val="20"/>
                <w:lang w:eastAsia="pl-PL"/>
              </w:rPr>
              <w:t>Rekonstrukcja badań SPECT, SPECT/CT dedykowanych do akwizycji  opcjonalnych zaoferowanych przez oferenta.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Arial"/>
                <w:sz w:val="20"/>
                <w:szCs w:val="20"/>
                <w:lang w:eastAsia="pl-PL"/>
              </w:rPr>
              <w:t>Możliwość wizualizacji VRT dla fuzji SPECT/CT – minimum na jednej stacji roboczej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212"/>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Ocena opróżniania żołądka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Pełna analiza badań renograficznych (udziały, dekonwolucja, czasy przejścia, GFR, ERPF)</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Analiza funkcji wątroby</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Analiza wychwytu tarczycy (99mTc i 131I) i ocena przytarczyc (subtrakcja)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Wszystkie stacje robocze kompatybilne z funkcjonującym w Klinice systemem informatycznym, programami RIS, PACS oraz innymi stacjami roboczymi.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Wszystkie stacje robocze z narzędziami eksportu obrazów w graficznych formatach (JPEG, AVI)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Aplikacja/opcja w aplikacji do dozymetrii wewnętrznej pacjenta dedkowanej dla medycyny nuklearnej.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Wszystkie stacje robocze z oprogramowaniem do nagrywania wybranych badań na nośniku CD lub DVD w formacie DICOM 3.0, wraz z DICOMDIR i przeglądarką badań</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Wyposażenie dodatkowe gamma kamery</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Dla każdej gammakamery: Komplet podpór do akwizycji pacjenta (minimum): uchwyt do głowy (przy badaniach mózgu) uchwyt do rąk (przy badaniach SPECT i GSPECT serca)  podpórki pod ramiona (przy badaniach typu całego ciała), pod kolana, pod głowę. Taśmy, maty unieruchamiające podczas akwizycji SPECT z rękami wzdłuż ciała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oferowany parametr</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p>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Fantomy niezbędne do wykonywania testów jakości i kalibracji modułu CT wraz z oprogramowaniem  – zgodne z wymogami rozporządzenia MZ. Jeśli fantomy są takie same dla obu gammakamer – wymagany 1 komplet. Fantomy dostarczane przez Producenta – wymagane oddzielne dla każdego skanera.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oferowany parametr</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lang w:eastAsia="pl-PL"/>
              </w:rPr>
              <w:t>Możliwość realizacji procedury kontroli jakości systemu hybrydowego SPECT/CT wg Rozporządzenie MZ (Dz.U. 2017 r. poz. 884)  oraz testów gammakamery wg NEMA (aktualnej wersji)</w:t>
            </w:r>
            <w:r w:rsidRPr="00C43122">
              <w:rPr>
                <w:rFonts w:cs="Calibri"/>
                <w:bCs/>
                <w:sz w:val="20"/>
                <w:szCs w:val="20"/>
                <w:lang w:eastAsia="pl-PL"/>
              </w:rPr>
              <w:t>. Z  dostarczeniem wszystkich potrzebnych instrukcji, fantomów, aplikacji do analizy obrazów testowych.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sz w:val="20"/>
                <w:szCs w:val="20"/>
                <w:lang w:eastAsia="pl-PL"/>
              </w:rPr>
            </w:pPr>
            <w:r w:rsidRPr="00C43122">
              <w:rPr>
                <w:rFonts w:cs="Calibri"/>
                <w:sz w:val="20"/>
                <w:szCs w:val="20"/>
                <w:lang w:eastAsia="pl-PL"/>
              </w:rPr>
              <w:t xml:space="preserve">Źródło płaskie Co57 o aktywności 20 [mCi] wielkością dostosowane do wymiarów detektorów gamma-kamery. Dostarczenie po uzyskaniu stosownych zezwoleń. Aktywność skalibrowana na czas dostawy (+/- 2 tygodnie). Wielkość powierzchni źródła uzależniona od wymiarów </w:t>
            </w:r>
            <w:r w:rsidRPr="00C43122">
              <w:rPr>
                <w:rFonts w:cs="Calibri"/>
                <w:sz w:val="20"/>
                <w:szCs w:val="20"/>
                <w:lang w:eastAsia="pl-PL"/>
              </w:rPr>
              <w:lastRenderedPageBreak/>
              <w:t>oferowanych detektorów.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sz w:val="20"/>
                <w:szCs w:val="20"/>
                <w:lang w:eastAsia="pl-PL"/>
              </w:rPr>
            </w:pPr>
            <w:r w:rsidRPr="00C43122">
              <w:rPr>
                <w:rFonts w:cs="Calibri"/>
                <w:sz w:val="20"/>
                <w:szCs w:val="20"/>
                <w:lang w:eastAsia="pl-PL"/>
              </w:rPr>
              <w:t>Napełniany samo mieszający fantom do zewnętrznej kontroli jednorodności jakości gammakamery. Wielkość powierzchni uzależniona od wymiarów oferowanych detektorów.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sz w:val="20"/>
                <w:szCs w:val="20"/>
                <w:lang w:eastAsia="pl-PL"/>
              </w:rPr>
            </w:pPr>
            <w:r w:rsidRPr="00C43122">
              <w:rPr>
                <w:rFonts w:cs="Calibri"/>
                <w:sz w:val="20"/>
                <w:szCs w:val="20"/>
                <w:lang w:eastAsia="pl-PL"/>
              </w:rPr>
              <w:t>Zasilanie awaryjne UPS dla gammakamery SPECT, stacji akwizycyjnej i stacji opracowania. Umożliwiające dokończenie akwizycji scyntygraficznej (min. 20 min.) Zasilanie nie musi obejmować skanera 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sz w:val="20"/>
                <w:szCs w:val="20"/>
                <w:lang w:eastAsia="pl-PL"/>
              </w:rPr>
            </w:pPr>
            <w:r w:rsidRPr="00C43122">
              <w:rPr>
                <w:rFonts w:cs="Calibri"/>
                <w:sz w:val="20"/>
                <w:szCs w:val="20"/>
                <w:lang w:eastAsia="pl-PL"/>
              </w:rPr>
              <w:t>Sygnalizacja świetlna włączonego urządzenia CT oraz  sygnalizacja świetlna i dźwiękowa przy ekspozycji dla promieniowania RTG.</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sz w:val="20"/>
                <w:szCs w:val="20"/>
                <w:lang w:eastAsia="pl-PL"/>
              </w:rPr>
            </w:pPr>
            <w:r w:rsidRPr="00C43122">
              <w:rPr>
                <w:rFonts w:cs="Calibri"/>
                <w:sz w:val="20"/>
                <w:szCs w:val="20"/>
                <w:lang w:eastAsia="pl-PL"/>
              </w:rPr>
              <w:t>System monitorujący pacjenta leżącego pod gammakamerą. Minimum po 3 kamery na aparat (zoom, rozdzielczość min. FullHD), dla każdej z gammakamer SPECT/CT. 2 stanowiska podglądu, monitory min. 24 cale z możliwością instalacji na ścianie.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Inne</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Testy akceptacyjne po instalacji dla gamma kamery SPECT/CT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bCs/>
                <w:sz w:val="20"/>
                <w:szCs w:val="20"/>
                <w:lang w:eastAsia="pl-PL"/>
              </w:rPr>
            </w:pPr>
            <w:r w:rsidRPr="00C43122">
              <w:rPr>
                <w:rFonts w:cs="Calibri"/>
                <w:bCs/>
                <w:sz w:val="20"/>
                <w:szCs w:val="20"/>
                <w:lang w:eastAsia="pl-PL"/>
              </w:rPr>
              <w:t>Duplikator płyt CD/DVD z możliwością bezobsługowego nagrywania badań w formacie DICOM (wysyłanych przez sieć ze stacji) i tworzenie nadruków. Z wszystkimi akcesoriami umożliwiającymi realizacje funkcji (oprogramowanie, komputer etc.)</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sz w:val="20"/>
                <w:szCs w:val="20"/>
                <w:lang w:eastAsia="pl-PL"/>
              </w:rPr>
            </w:pPr>
            <w:r w:rsidRPr="00C43122">
              <w:rPr>
                <w:rFonts w:cs="Calibri"/>
                <w:sz w:val="20"/>
                <w:szCs w:val="20"/>
                <w:lang w:eastAsia="pl-PL"/>
              </w:rPr>
              <w:t>Drukarka kolorowa laserowa obsługująca standard DICOM. Kompatybilna z dostarczonym sprzętem.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bCs/>
                <w:iCs/>
                <w:sz w:val="20"/>
                <w:szCs w:val="20"/>
              </w:rPr>
              <w:t>SPRZĘT KOMPUTEROWY / PRACA W SIECIACH INFORMATYCZNYCH – wymagania ogólne</w:t>
            </w:r>
          </w:p>
        </w:tc>
      </w:tr>
      <w:tr w:rsidR="00F40F2E" w:rsidRPr="00C43122" w:rsidTr="00C43122">
        <w:tc>
          <w:tcPr>
            <w:tcW w:w="567" w:type="dxa"/>
            <w:vAlign w:val="center"/>
          </w:tcPr>
          <w:p w:rsidR="00F40F2E" w:rsidRPr="00C43122" w:rsidRDefault="00F40F2E" w:rsidP="00C43122">
            <w:pPr>
              <w:pStyle w:val="Zawartotabeli"/>
              <w:numPr>
                <w:ilvl w:val="0"/>
                <w:numId w:val="17"/>
              </w:numPr>
              <w:tabs>
                <w:tab w:val="left" w:pos="-142"/>
              </w:tabs>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iCs/>
                <w:sz w:val="20"/>
              </w:rPr>
              <w:t>Aparaty oraz stacje postprocessingowe przygotowane do integracji z systemem RIS/PACS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Oferowane urządzenia posiadają  możliwość współpracy ze szpitalnymi sieciami informatycznymi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Aktualizacja oprogramowania zainstalowanego w dostarczonych urządzeniach komputerowych w okresie trwania gwarancji.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Do wszystkich dostarczonych urządzeń informatycznych (komputery, stacje robocze, itp.) oraz oprogramowania zostaną dołączone hasła administracyjne (o ile występują)</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Integracja aparatu z systemem informatycznym RIS Zamawiającego (Softmed Orion) w zakresie obsługi list roboczych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Archiwizacja danych obrazowych w systemie PACS Zamawiającego wraz z uwzględnieniem mechanizmu Storage Commitment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Czytelna wizualizacja stanu archiwizacji badań</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Konfiguracja systemów RIS (Softmed Orion) oraz PACS (Agfa Impax) może być wykonana wyłącznie przez autoryzowany serwis tych systemów. Wszelkie koszty związane z integracją pokrywa Wykonawca.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Nieorganiczne czasowo licencje na funkcjonalności DICOM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Podstawowa konfiguracja parametrów DICOM, w szczególności dodanie lub modyfikacja węzłów DICOM możliwa do przeprowadzenia przez przeszkolonych pracowników Zamawiającego.</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Przeszkolenie wyznaczonych pracowników Zamawiającego w zakresie podstawowej konfiguracji DICOM oraz diagnostyki komunikacji sieciowej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Możliwość uruchomienia klienta AGFA – IMPAX na stacja diagnostycznych stanowiących wyposażenie RM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Do każdej stacji  diagnostycznej producenta systemu SPECT 3ci monitor opisowy (lub komputer z monitorem opisowym)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W przypadku, gdy do uruchomienia dostarczanej aparatury medycznej Wykonawca potrzebuje wykonać dodatkowe elementy sieci komputerowej powinny spełnić następujące wymagania.</w:t>
            </w:r>
          </w:p>
          <w:p w:rsidR="00F40F2E" w:rsidRPr="00C43122" w:rsidRDefault="00F40F2E" w:rsidP="001C3FC0">
            <w:pPr>
              <w:rPr>
                <w:rFonts w:cs="Calibri"/>
                <w:sz w:val="20"/>
                <w:szCs w:val="20"/>
              </w:rPr>
            </w:pPr>
            <w:r w:rsidRPr="00C43122">
              <w:rPr>
                <w:rFonts w:cs="Calibri"/>
                <w:sz w:val="20"/>
                <w:szCs w:val="20"/>
              </w:rPr>
              <w:t xml:space="preserve">•Dla wykonania okablowania opartego o skrętkę miedzianą (UTP, FTP, </w:t>
            </w:r>
            <w:r w:rsidRPr="00C43122">
              <w:rPr>
                <w:rFonts w:cs="Calibri"/>
                <w:sz w:val="20"/>
                <w:szCs w:val="20"/>
              </w:rPr>
              <w:lastRenderedPageBreak/>
              <w:t>STP) należy wykorzystać komponenty co najmniej kategorii 6a z zapewnieniem torów transmisyjnych klasy Ea</w:t>
            </w:r>
          </w:p>
          <w:p w:rsidR="00F40F2E" w:rsidRPr="00C43122" w:rsidRDefault="00F40F2E" w:rsidP="001C3FC0">
            <w:pPr>
              <w:rPr>
                <w:rFonts w:cs="Calibri"/>
                <w:sz w:val="20"/>
                <w:szCs w:val="20"/>
              </w:rPr>
            </w:pPr>
            <w:r w:rsidRPr="00C43122">
              <w:rPr>
                <w:rFonts w:cs="Calibri"/>
                <w:sz w:val="20"/>
                <w:szCs w:val="20"/>
              </w:rPr>
              <w:t>•Dla okablowania światłowodowego należy wykorzystać włókna wielomodowe klasy co najmniej OM3, a dla okablowania jednodomowego włókna klasy co najmniej OS2</w:t>
            </w:r>
          </w:p>
          <w:p w:rsidR="00F40F2E" w:rsidRPr="00C43122" w:rsidRDefault="00F40F2E" w:rsidP="001C3FC0">
            <w:pPr>
              <w:rPr>
                <w:rFonts w:cs="Calibri"/>
                <w:sz w:val="20"/>
                <w:szCs w:val="20"/>
              </w:rPr>
            </w:pPr>
            <w:r w:rsidRPr="00C43122">
              <w:rPr>
                <w:rFonts w:cs="Calibri"/>
                <w:sz w:val="20"/>
                <w:szCs w:val="20"/>
              </w:rPr>
              <w:t>•Okablowanie powinno być ukryte przed łatwym dostępem (montaż podtynkowy, koryto PVC lub pod podłogą techniczną).</w:t>
            </w:r>
          </w:p>
          <w:p w:rsidR="00F40F2E" w:rsidRPr="00C43122" w:rsidRDefault="00F40F2E" w:rsidP="001C3FC0">
            <w:pPr>
              <w:rPr>
                <w:rFonts w:cs="Calibri"/>
                <w:sz w:val="20"/>
                <w:szCs w:val="20"/>
              </w:rPr>
            </w:pPr>
            <w:r w:rsidRPr="00C43122">
              <w:rPr>
                <w:rFonts w:cs="Calibri"/>
                <w:sz w:val="20"/>
                <w:szCs w:val="20"/>
              </w:rPr>
              <w:t>• Okablowanie powinno być zakończone w gniazdach lub na panelach krosowych</w:t>
            </w:r>
          </w:p>
          <w:p w:rsidR="00F40F2E" w:rsidRPr="00C43122" w:rsidRDefault="00F40F2E" w:rsidP="001C3FC0">
            <w:pPr>
              <w:rPr>
                <w:rFonts w:cs="Calibri"/>
                <w:sz w:val="20"/>
                <w:szCs w:val="20"/>
              </w:rPr>
            </w:pPr>
            <w:r w:rsidRPr="00C43122">
              <w:rPr>
                <w:rFonts w:cs="Calibri"/>
                <w:sz w:val="20"/>
                <w:szCs w:val="20"/>
              </w:rPr>
              <w:t>• Gniazda i panele krosowe powinny być czytelnie oznakowane w sposób unikalny w skali całego budynku</w:t>
            </w:r>
          </w:p>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 Jakość wykonanych komponentów zostanie potwierdzona pomiarami a wyniki pomiarów zgodności z klasą Ea i zostaną dostarczone do dokumentacji powykonawczej. Zastrzegamy możliwość uczestniczenia pracownika Zamawiającego w procesie pomiarowym.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B63E97">
            <w:pPr>
              <w:pStyle w:val="Akapitzlist"/>
              <w:ind w:left="0"/>
              <w:rPr>
                <w:rFonts w:cs="Calibri"/>
                <w:sz w:val="20"/>
                <w:szCs w:val="20"/>
              </w:rPr>
            </w:pPr>
            <w:r w:rsidRPr="00C43122">
              <w:rPr>
                <w:rFonts w:cs="Calibri"/>
                <w:sz w:val="20"/>
                <w:szCs w:val="20"/>
              </w:rPr>
              <w:t>Sprzęt aktywny użyty do wykonania dedykowanej sieci komputerowej (przełączniki, routery, zapory) powinien spełniać następujące wymogi:</w:t>
            </w:r>
          </w:p>
          <w:p w:rsidR="00F40F2E" w:rsidRPr="00B63E97" w:rsidRDefault="00F40F2E" w:rsidP="00B63E97">
            <w:pPr>
              <w:pStyle w:val="Akapitzlist"/>
              <w:spacing w:after="0" w:line="240" w:lineRule="auto"/>
              <w:ind w:left="0"/>
              <w:rPr>
                <w:rFonts w:cs="Calibri"/>
                <w:sz w:val="20"/>
                <w:szCs w:val="20"/>
              </w:rPr>
            </w:pPr>
            <w:r w:rsidRPr="00C43122">
              <w:rPr>
                <w:rFonts w:cs="Calibri"/>
                <w:sz w:val="20"/>
                <w:szCs w:val="20"/>
              </w:rPr>
              <w:t xml:space="preserve">interfejsy o prędkości co najmniej </w:t>
            </w:r>
            <w:r w:rsidRPr="00B63E97">
              <w:rPr>
                <w:rFonts w:cs="Calibri"/>
                <w:sz w:val="20"/>
                <w:szCs w:val="20"/>
              </w:rPr>
              <w:t xml:space="preserve">1Gbit/s zarządzalny interfejs </w:t>
            </w:r>
          </w:p>
          <w:p w:rsidR="00F40F2E" w:rsidRPr="00C43122" w:rsidRDefault="00F40F2E" w:rsidP="00B63E97">
            <w:pPr>
              <w:pStyle w:val="Akapitzlist"/>
              <w:numPr>
                <w:ilvl w:val="0"/>
                <w:numId w:val="10"/>
              </w:numPr>
              <w:spacing w:after="0" w:line="240" w:lineRule="auto"/>
              <w:ind w:left="0" w:firstLine="0"/>
              <w:rPr>
                <w:rFonts w:cs="Calibri"/>
                <w:sz w:val="20"/>
                <w:szCs w:val="20"/>
              </w:rPr>
            </w:pPr>
            <w:r w:rsidRPr="00B63E97">
              <w:rPr>
                <w:rFonts w:cs="Calibri"/>
                <w:sz w:val="20"/>
                <w:szCs w:val="20"/>
              </w:rPr>
              <w:t>Umożliwiajcy odczyt liczników błędów</w:t>
            </w:r>
            <w:bookmarkStart w:id="1" w:name="_GoBack"/>
            <w:bookmarkEnd w:id="1"/>
            <w:r w:rsidRPr="00C43122">
              <w:rPr>
                <w:rFonts w:cs="Calibri"/>
                <w:sz w:val="20"/>
                <w:szCs w:val="20"/>
              </w:rPr>
              <w:t xml:space="preserve"> komunikacji dla poszczególnych interfejsów umożliwia odczyt przypisania adresów MAC do  poszczególnych portów możliwość logicznego wyłączenia interfejsu</w:t>
            </w:r>
          </w:p>
          <w:p w:rsidR="00F40F2E" w:rsidRPr="00C43122" w:rsidRDefault="00F40F2E" w:rsidP="00B63E97">
            <w:pPr>
              <w:pStyle w:val="Nagwek1"/>
              <w:snapToGrid w:val="0"/>
              <w:ind w:left="0" w:firstLine="0"/>
              <w:rPr>
                <w:rFonts w:ascii="Calibri" w:hAnsi="Calibri" w:cs="Calibri"/>
                <w:bCs/>
                <w:iCs/>
                <w:sz w:val="20"/>
              </w:rPr>
            </w:pPr>
            <w:r w:rsidRPr="00C43122">
              <w:rPr>
                <w:rFonts w:ascii="Calibri" w:hAnsi="Calibri" w:cs="Calibri"/>
                <w:sz w:val="20"/>
              </w:rPr>
              <w:t>Hasła dostępowe zostaną przekazane do Działu Informatyki SU.</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0558C8">
            <w:pPr>
              <w:rPr>
                <w:rFonts w:cs="Calibri"/>
                <w:sz w:val="20"/>
                <w:szCs w:val="20"/>
              </w:rPr>
            </w:pPr>
            <w:r w:rsidRPr="00C43122">
              <w:rPr>
                <w:rFonts w:cs="Calibri"/>
                <w:sz w:val="20"/>
                <w:szCs w:val="20"/>
              </w:rPr>
              <w:t xml:space="preserve">Adresacja IP dla dostarczanych urządzeń oraz nazwy parametryczne np. nazwy komputerów, domen DNS, AE Title powinny być ustalane z Zamawiającym. W szczególności niedopuszczalne jest stosowanie fabrycznych nazw AE Title bazujących na nazwie modelu urządzenia. </w:t>
            </w:r>
            <w:r w:rsidRPr="00C43122">
              <w:rPr>
                <w:rFonts w:cs="Calibri"/>
                <w:sz w:val="20"/>
              </w:rPr>
              <w:lastRenderedPageBreak/>
              <w:t>Wszystkie wykorzystane adresy IP oraz nazwy AE Title powinny być udokumentowane wraz z krótkim opisem urządzenia, do którego adres zostały przypisane. Listę wykorzystanych adresów IP należy dołączyć do dokumentacji powykonawczej.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DDD9C3"/>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vAlign w:val="center"/>
          </w:tcPr>
          <w:p w:rsidR="00F40F2E" w:rsidRPr="00C43122" w:rsidRDefault="00F40F2E" w:rsidP="001C3FC0">
            <w:pPr>
              <w:rPr>
                <w:rFonts w:cs="Calibri"/>
                <w:b/>
                <w:sz w:val="20"/>
                <w:szCs w:val="20"/>
              </w:rPr>
            </w:pPr>
            <w:r w:rsidRPr="00C43122">
              <w:rPr>
                <w:rFonts w:cs="Calibri"/>
                <w:b/>
                <w:bCs/>
                <w:iCs/>
                <w:sz w:val="20"/>
                <w:szCs w:val="20"/>
              </w:rPr>
              <w:t>INNE</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Transport krajowy i zagraniczny wraz z ubezpieczeniem, wszelkie opłaty celne, skarbowe oraz inne opłaty pośrednie po stronie wykonawcy</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 xml:space="preserve">Komplet dokumentów i testów, których wykonanie zgodnie z obowiązującymi przepisami leży po stronie wykonawcy, a które są niezbędne do odbioru pracowni i urządzenia przez uprawnione instytucje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Wykonawca sam przygotuje odpowiednie pomieszczenie dla serwerów obsługujących aparaty i stacje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DDD9C3"/>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tcPr>
          <w:p w:rsidR="00F40F2E" w:rsidRPr="00C43122" w:rsidRDefault="00F40F2E" w:rsidP="00C43122">
            <w:pPr>
              <w:spacing w:line="288" w:lineRule="auto"/>
              <w:rPr>
                <w:rFonts w:cs="Calibri"/>
                <w:b/>
                <w:sz w:val="20"/>
                <w:szCs w:val="20"/>
              </w:rPr>
            </w:pPr>
            <w:r w:rsidRPr="00C43122">
              <w:rPr>
                <w:rFonts w:cs="Calibri"/>
                <w:b/>
                <w:sz w:val="20"/>
                <w:szCs w:val="20"/>
                <w:lang w:eastAsia="pl-PL"/>
              </w:rPr>
              <w:t>PRACE ADPATACYJNE</w:t>
            </w:r>
          </w:p>
        </w:tc>
      </w:tr>
      <w:tr w:rsidR="00F40F2E" w:rsidRPr="00C43122" w:rsidTr="00C43122">
        <w:trPr>
          <w:trHeight w:val="1155"/>
        </w:trPr>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tcPr>
          <w:p w:rsidR="00F40F2E" w:rsidRPr="00C43122" w:rsidRDefault="00F40F2E" w:rsidP="00FD0D68">
            <w:pPr>
              <w:rPr>
                <w:rFonts w:cs="Calibri"/>
                <w:sz w:val="20"/>
                <w:szCs w:val="20"/>
              </w:rPr>
            </w:pPr>
            <w:r w:rsidRPr="00C43122">
              <w:rPr>
                <w:rFonts w:cs="Calibri"/>
                <w:sz w:val="20"/>
                <w:szCs w:val="20"/>
              </w:rPr>
              <w:t>Montaż urządzenia – we wskazanych pomieszczeniach NSSU Kraków –Prokocim.</w:t>
            </w:r>
          </w:p>
          <w:p w:rsidR="00F40F2E" w:rsidRPr="00C43122" w:rsidRDefault="00F40F2E" w:rsidP="00FD0D68">
            <w:pPr>
              <w:rPr>
                <w:lang w:eastAsia="pl-PL"/>
              </w:rPr>
            </w:pPr>
            <w:r w:rsidRPr="00C43122">
              <w:rPr>
                <w:rFonts w:cs="Calibri"/>
                <w:sz w:val="20"/>
                <w:szCs w:val="20"/>
              </w:rPr>
              <w:t>Wykonawca zobowiązuje się, że wszystkie prace i czynności nie wpłyną na gwarancję obiektu NSSU jako całości</w:t>
            </w:r>
          </w:p>
        </w:tc>
        <w:tc>
          <w:tcPr>
            <w:tcW w:w="1975" w:type="dxa"/>
            <w:vAlign w:val="center"/>
          </w:tcPr>
          <w:p w:rsidR="00F40F2E" w:rsidRPr="00C43122" w:rsidRDefault="00F40F2E" w:rsidP="00C43122">
            <w:pPr>
              <w:spacing w:line="288" w:lineRule="auto"/>
              <w:jc w:val="center"/>
              <w:rPr>
                <w:rFonts w:cs="Calibri"/>
                <w:sz w:val="20"/>
                <w:szCs w:val="20"/>
                <w:lang w:eastAsia="pl-PL"/>
              </w:rPr>
            </w:pPr>
            <w:r w:rsidRPr="00C43122">
              <w:rPr>
                <w:rFonts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lang w:eastAsia="pl-PL"/>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rPr>
          <w:trHeight w:val="304"/>
        </w:trPr>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snapToGrid w:val="0"/>
              <w:spacing w:line="288" w:lineRule="auto"/>
              <w:rPr>
                <w:rFonts w:cs="Calibri"/>
                <w:sz w:val="20"/>
                <w:szCs w:val="20"/>
              </w:rPr>
            </w:pPr>
            <w:r w:rsidRPr="00C43122">
              <w:rPr>
                <w:rFonts w:cs="Calibri"/>
                <w:sz w:val="20"/>
                <w:szCs w:val="20"/>
              </w:rPr>
              <w:t>Powierzchnia instalacyjna [m</w:t>
            </w:r>
            <w:r w:rsidRPr="00C43122">
              <w:rPr>
                <w:rFonts w:cs="Calibri"/>
                <w:sz w:val="20"/>
                <w:szCs w:val="20"/>
                <w:vertAlign w:val="superscript"/>
              </w:rPr>
              <w:t>2</w:t>
            </w:r>
            <w:r w:rsidRPr="00C43122">
              <w:rPr>
                <w:rFonts w:cs="Calibri"/>
                <w:sz w:val="20"/>
                <w:szCs w:val="20"/>
              </w:rPr>
              <w:t>]</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t>Podać</w:t>
            </w:r>
          </w:p>
        </w:tc>
        <w:tc>
          <w:tcPr>
            <w:tcW w:w="3128"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snapToGrid w:val="0"/>
              <w:spacing w:line="288" w:lineRule="auto"/>
              <w:rPr>
                <w:rFonts w:cs="Calibri"/>
                <w:sz w:val="20"/>
                <w:szCs w:val="20"/>
              </w:rPr>
            </w:pPr>
            <w:r w:rsidRPr="00C43122">
              <w:rPr>
                <w:rFonts w:cs="Calibri"/>
                <w:sz w:val="20"/>
                <w:szCs w:val="20"/>
              </w:rPr>
              <w:t>Wykonawca gwarantuje, że masa systemu nie wpłynie na dopuszczalne obciążenie stropu pracowni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snapToGrid w:val="0"/>
              <w:spacing w:line="288" w:lineRule="auto"/>
              <w:rPr>
                <w:rFonts w:cs="Calibri"/>
                <w:sz w:val="20"/>
                <w:szCs w:val="20"/>
              </w:rPr>
            </w:pPr>
            <w:r w:rsidRPr="00C43122">
              <w:rPr>
                <w:rFonts w:cs="Calibri"/>
                <w:sz w:val="20"/>
                <w:szCs w:val="20"/>
              </w:rPr>
              <w:t>Podać informację czy system wymaga dodatkowych (poza istniejącą infrastruktury) instalacji chłodzących</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t>Podać</w:t>
            </w:r>
          </w:p>
        </w:tc>
        <w:tc>
          <w:tcPr>
            <w:tcW w:w="3128"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rPr>
          <w:trHeight w:val="672"/>
        </w:trPr>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snapToGrid w:val="0"/>
              <w:spacing w:line="288" w:lineRule="auto"/>
              <w:rPr>
                <w:rFonts w:cs="Calibri"/>
                <w:sz w:val="20"/>
                <w:szCs w:val="20"/>
              </w:rPr>
            </w:pPr>
            <w:r w:rsidRPr="00C43122">
              <w:rPr>
                <w:rFonts w:cs="Calibri"/>
                <w:sz w:val="20"/>
                <w:szCs w:val="20"/>
              </w:rPr>
              <w:t>W przypadku potrzeby odprowadzenia ciepła z oferowanego systemu, urządzeń zasilających, peryferyjnych i komputerów należy dostarczyć i zainstalować odpowiedni system zapewniający pracę systemu w warunkach zgodnych z wytycznymi producenta</w:t>
            </w:r>
          </w:p>
          <w:p w:rsidR="00F40F2E" w:rsidRPr="00C43122" w:rsidRDefault="00F40F2E" w:rsidP="00C43122">
            <w:pPr>
              <w:snapToGrid w:val="0"/>
              <w:spacing w:line="288" w:lineRule="auto"/>
              <w:rPr>
                <w:rFonts w:cs="Calibri"/>
                <w:sz w:val="20"/>
                <w:szCs w:val="20"/>
              </w:rPr>
            </w:pPr>
            <w:r w:rsidRPr="00C43122">
              <w:rPr>
                <w:rFonts w:cs="Calibri"/>
                <w:b/>
                <w:sz w:val="20"/>
                <w:szCs w:val="20"/>
              </w:rPr>
              <w:t>UWAGA:</w:t>
            </w:r>
            <w:r w:rsidRPr="00C43122">
              <w:rPr>
                <w:rFonts w:cs="Calibri"/>
                <w:sz w:val="20"/>
                <w:szCs w:val="20"/>
              </w:rPr>
              <w:t xml:space="preserve"> </w:t>
            </w:r>
            <w:r w:rsidRPr="00C43122">
              <w:rPr>
                <w:rFonts w:cs="Calibri"/>
                <w:i/>
                <w:sz w:val="20"/>
                <w:szCs w:val="20"/>
              </w:rPr>
              <w:t>po stronie Wykonawcy wszystkie ewentualne prace i czynności projektowe (w tym dokonanie uzgodnień z projektantem szpitala) i wykonawcze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snapToGrid w:val="0"/>
              <w:spacing w:line="288" w:lineRule="auto"/>
              <w:rPr>
                <w:rFonts w:cs="Calibri"/>
                <w:sz w:val="20"/>
                <w:szCs w:val="20"/>
              </w:rPr>
            </w:pPr>
            <w:r w:rsidRPr="00C43122">
              <w:rPr>
                <w:rFonts w:cs="Calibri"/>
                <w:bCs/>
                <w:iCs/>
                <w:sz w:val="20"/>
                <w:szCs w:val="20"/>
              </w:rPr>
              <w:t>Wymagana moc przyłączeniowa zasilania energetycznego [kVA]</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t>Podać</w:t>
            </w:r>
          </w:p>
        </w:tc>
        <w:tc>
          <w:tcPr>
            <w:tcW w:w="3128"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rPr>
          <w:trHeight w:val="1124"/>
        </w:trPr>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snapToGrid w:val="0"/>
              <w:spacing w:line="288" w:lineRule="auto"/>
              <w:rPr>
                <w:rFonts w:cs="Calibri"/>
                <w:bCs/>
                <w:iCs/>
                <w:sz w:val="20"/>
                <w:szCs w:val="20"/>
              </w:rPr>
            </w:pPr>
            <w:r w:rsidRPr="00C43122">
              <w:rPr>
                <w:rFonts w:cs="Calibri"/>
                <w:bCs/>
                <w:iCs/>
                <w:sz w:val="20"/>
                <w:szCs w:val="20"/>
              </w:rPr>
              <w:t>Wykonawca gwarantuje, że jego urządzenie już po oddaniu do eksploatacji nie będzie wymagało prowadzenia przez Zamawiającego dodatkowych instalacji i innych prac związanych z eksploatacją urządzenia.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1483"/>
        </w:trPr>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Ciężar całego systemu [kg] z rozbiciem na najbardziej istotne elementy składowe</w:t>
            </w:r>
          </w:p>
          <w:p w:rsidR="00F40F2E" w:rsidRPr="00C43122" w:rsidRDefault="00F40F2E" w:rsidP="00C43122">
            <w:pPr>
              <w:snapToGrid w:val="0"/>
              <w:spacing w:line="288" w:lineRule="auto"/>
              <w:rPr>
                <w:rFonts w:cs="Calibri"/>
                <w:bCs/>
                <w:iCs/>
                <w:sz w:val="20"/>
                <w:szCs w:val="20"/>
              </w:rPr>
            </w:pPr>
            <w:r w:rsidRPr="00C43122">
              <w:rPr>
                <w:rFonts w:cs="Calibri"/>
                <w:bCs/>
                <w:iCs/>
                <w:sz w:val="20"/>
                <w:szCs w:val="20"/>
              </w:rPr>
              <w:t>UWAGA – Wykonawca gwarantuje jednocześnie, że masa systemu nie wpłynie na dopuszczalne obciążenie konstrukcji obiektu.</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xml:space="preserv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Warunki klimatyczne wymagane podczas pracy urządzenia:</w:t>
            </w:r>
          </w:p>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zakres temperatur [°C]</w:t>
            </w:r>
          </w:p>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zakres wilgotności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Dopuszczalne zmiany warunków klimatycznych podczas pracy:</w:t>
            </w:r>
          </w:p>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temperatura [0C/godz]</w:t>
            </w:r>
          </w:p>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zakres wilgotności [% / godz]]</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t>Podać</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rPr>
          <w:trHeight w:val="360"/>
        </w:trPr>
        <w:tc>
          <w:tcPr>
            <w:tcW w:w="567" w:type="dxa"/>
            <w:shd w:val="clear" w:color="auto" w:fill="DDD9C3"/>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vAlign w:val="center"/>
          </w:tcPr>
          <w:p w:rsidR="00F40F2E" w:rsidRPr="00C43122" w:rsidRDefault="00F40F2E" w:rsidP="00C43122">
            <w:pPr>
              <w:spacing w:line="288" w:lineRule="auto"/>
              <w:rPr>
                <w:rFonts w:cs="Calibri"/>
                <w:sz w:val="16"/>
                <w:szCs w:val="16"/>
              </w:rPr>
            </w:pPr>
            <w:r w:rsidRPr="00C43122">
              <w:rPr>
                <w:rFonts w:cs="Calibri"/>
                <w:b/>
                <w:bCs/>
                <w:iCs/>
                <w:sz w:val="20"/>
                <w:szCs w:val="20"/>
              </w:rPr>
              <w:t>PRACE PROJEKTOWE I INSTALACYJNE</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W cenie oferty – niezbędne prace instalacyjne i adaptacyjne (opracowanie projektów i realizacja), oraz dokumentacja – konieczne do odbioru i dopuszczenia do eksploatacji pracowni oraz aparatu przez uprawnione instytucje.</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 xml:space="preserve">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 </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Pełna dokumentacja powykonawcza zawierająca dokumentację architektoniczną, budowlaną, instalacyjną - w tym informacje elektryczne i teletechniczne.</w:t>
            </w:r>
          </w:p>
        </w:tc>
        <w:tc>
          <w:tcPr>
            <w:tcW w:w="1975" w:type="dxa"/>
            <w:vAlign w:val="center"/>
          </w:tcPr>
          <w:p w:rsidR="00F40F2E" w:rsidRPr="00C43122" w:rsidRDefault="00F40F2E" w:rsidP="00C43122">
            <w:pPr>
              <w:jc w:val="center"/>
            </w:pPr>
            <w:r w:rsidRPr="00C43122">
              <w:rPr>
                <w:rFonts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p>
        </w:tc>
        <w:tc>
          <w:tcPr>
            <w:tcW w:w="1975" w:type="dxa"/>
            <w:vAlign w:val="center"/>
          </w:tcPr>
          <w:p w:rsidR="00F40F2E" w:rsidRPr="00C43122" w:rsidRDefault="00F40F2E" w:rsidP="00C43122">
            <w:pPr>
              <w:jc w:val="center"/>
            </w:pPr>
            <w:r w:rsidRPr="00C43122">
              <w:rPr>
                <w:rFonts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tabs>
                <w:tab w:val="left" w:pos="1204"/>
                <w:tab w:val="center" w:pos="1327"/>
              </w:tabs>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Wykonawca jest odpowiedzialny za realizację całokształtu prac adaptacyjnych i instalacyjnych przy współpracy z inspektorem nadzoru Zamawiającego</w:t>
            </w:r>
          </w:p>
        </w:tc>
        <w:tc>
          <w:tcPr>
            <w:tcW w:w="1975" w:type="dxa"/>
            <w:vAlign w:val="center"/>
          </w:tcPr>
          <w:p w:rsidR="00F40F2E" w:rsidRPr="00C43122" w:rsidRDefault="00F40F2E" w:rsidP="00C43122">
            <w:pPr>
              <w:jc w:val="center"/>
            </w:pPr>
            <w:r w:rsidRPr="00C43122">
              <w:rPr>
                <w:rFonts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W cenie oferty – prace porządkowe po instalacji, odbiór zbędnych opakowań, substancji szkodliwych (o ile występują), naprawa szkód (o ile wystąpią podczas dostawy i montażu)</w:t>
            </w:r>
          </w:p>
        </w:tc>
        <w:tc>
          <w:tcPr>
            <w:tcW w:w="1975" w:type="dxa"/>
            <w:vAlign w:val="center"/>
          </w:tcPr>
          <w:p w:rsidR="00F40F2E" w:rsidRPr="00C43122" w:rsidRDefault="00F40F2E" w:rsidP="00C43122">
            <w:pPr>
              <w:jc w:val="center"/>
            </w:pPr>
            <w:r w:rsidRPr="00C43122">
              <w:rPr>
                <w:rFonts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W obrębie pomieszczeń i ich otoczeniu – przygotowanie i odpowiednie zabezpieczenie dróg transportu, otworów montażowych oraz innych niezbędnych obiektów i czynności związanych z realizacją przedmiotu zamówienia</w:t>
            </w:r>
          </w:p>
        </w:tc>
        <w:tc>
          <w:tcPr>
            <w:tcW w:w="1975" w:type="dxa"/>
            <w:vAlign w:val="center"/>
          </w:tcPr>
          <w:p w:rsidR="00F40F2E" w:rsidRPr="00C43122" w:rsidRDefault="00F40F2E" w:rsidP="00C43122">
            <w:pPr>
              <w:jc w:val="center"/>
            </w:pPr>
            <w:r w:rsidRPr="00C43122">
              <w:rPr>
                <w:rFonts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bl>
    <w:p w:rsidR="00F40F2E" w:rsidRPr="004B052C" w:rsidRDefault="00F40F2E" w:rsidP="004A022F">
      <w:pPr>
        <w:spacing w:after="0" w:line="240" w:lineRule="auto"/>
        <w:rPr>
          <w:rFonts w:cs="Calibri"/>
          <w:sz w:val="20"/>
          <w:szCs w:val="20"/>
        </w:rPr>
      </w:pPr>
    </w:p>
    <w:p w:rsidR="00F40F2E" w:rsidRPr="00247AF4" w:rsidRDefault="00F40F2E" w:rsidP="004957D7">
      <w:pPr>
        <w:pStyle w:val="Nagwek2"/>
        <w:tabs>
          <w:tab w:val="clear" w:pos="0"/>
        </w:tabs>
        <w:ind w:hanging="9"/>
        <w:rPr>
          <w:rFonts w:ascii="Calibri" w:hAnsi="Calibri" w:cs="Calibri"/>
          <w:sz w:val="22"/>
          <w:szCs w:val="22"/>
          <w:lang w:eastAsia="en-US"/>
        </w:rPr>
      </w:pPr>
      <w:r w:rsidRPr="00247AF4">
        <w:rPr>
          <w:rFonts w:ascii="Calibri" w:hAnsi="Calibri" w:cs="Calibri"/>
          <w:sz w:val="22"/>
          <w:szCs w:val="22"/>
          <w:lang w:eastAsia="en-US"/>
        </w:rPr>
        <w:t>WARUNKI GWARANCJI I SERWISU</w:t>
      </w:r>
    </w:p>
    <w:tbl>
      <w:tblPr>
        <w:tblW w:w="1502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6096"/>
        <w:gridCol w:w="1984"/>
        <w:gridCol w:w="3119"/>
        <w:gridCol w:w="3260"/>
      </w:tblGrid>
      <w:tr w:rsidR="00F40F2E" w:rsidRPr="00C43122" w:rsidTr="004A022F">
        <w:trPr>
          <w:tblHeader/>
        </w:trPr>
        <w:tc>
          <w:tcPr>
            <w:tcW w:w="567" w:type="dxa"/>
            <w:shd w:val="clear" w:color="auto" w:fill="FFFFFF"/>
            <w:vAlign w:val="center"/>
          </w:tcPr>
          <w:p w:rsidR="00F40F2E" w:rsidRPr="004B052C" w:rsidRDefault="00F40F2E" w:rsidP="002F3D91">
            <w:pPr>
              <w:pStyle w:val="Zawartotabeli"/>
              <w:snapToGrid w:val="0"/>
              <w:rPr>
                <w:rFonts w:ascii="Calibri" w:hAnsi="Calibri" w:cs="Calibri"/>
                <w:b/>
                <w:sz w:val="20"/>
                <w:szCs w:val="20"/>
              </w:rPr>
            </w:pPr>
            <w:r w:rsidRPr="004B052C">
              <w:rPr>
                <w:rFonts w:ascii="Calibri" w:hAnsi="Calibri" w:cs="Calibri"/>
                <w:b/>
                <w:sz w:val="20"/>
                <w:szCs w:val="20"/>
              </w:rPr>
              <w:t>L.p.</w:t>
            </w:r>
          </w:p>
        </w:tc>
        <w:tc>
          <w:tcPr>
            <w:tcW w:w="6096" w:type="dxa"/>
            <w:shd w:val="clear" w:color="auto" w:fill="FFFFFF"/>
            <w:vAlign w:val="center"/>
          </w:tcPr>
          <w:p w:rsidR="00F40F2E" w:rsidRPr="004B052C" w:rsidRDefault="00F40F2E" w:rsidP="002F3D91">
            <w:pPr>
              <w:pStyle w:val="Nagwek1"/>
              <w:snapToGrid w:val="0"/>
              <w:ind w:left="0" w:firstLine="0"/>
              <w:jc w:val="center"/>
              <w:rPr>
                <w:rFonts w:ascii="Calibri" w:hAnsi="Calibri" w:cs="Calibri"/>
                <w:b/>
                <w:bCs/>
                <w:iCs/>
                <w:sz w:val="20"/>
              </w:rPr>
            </w:pPr>
            <w:r w:rsidRPr="004B052C">
              <w:rPr>
                <w:rFonts w:ascii="Calibri" w:hAnsi="Calibri" w:cs="Calibri"/>
                <w:b/>
                <w:bCs/>
                <w:kern w:val="0"/>
                <w:sz w:val="20"/>
              </w:rPr>
              <w:t>Parametr</w:t>
            </w:r>
          </w:p>
        </w:tc>
        <w:tc>
          <w:tcPr>
            <w:tcW w:w="1984" w:type="dxa"/>
            <w:shd w:val="clear" w:color="auto" w:fill="FFFFFF"/>
            <w:vAlign w:val="center"/>
          </w:tcPr>
          <w:p w:rsidR="00F40F2E" w:rsidRPr="004B052C" w:rsidRDefault="00F40F2E" w:rsidP="002F3D91">
            <w:pPr>
              <w:pStyle w:val="Zawartotabeli"/>
              <w:snapToGrid w:val="0"/>
              <w:jc w:val="center"/>
              <w:rPr>
                <w:rFonts w:ascii="Calibri" w:hAnsi="Calibri" w:cs="Calibri"/>
                <w:b/>
                <w:sz w:val="20"/>
                <w:szCs w:val="20"/>
              </w:rPr>
            </w:pPr>
            <w:r w:rsidRPr="004B052C">
              <w:rPr>
                <w:rFonts w:ascii="Calibri" w:hAnsi="Calibri" w:cs="Calibri"/>
                <w:b/>
                <w:sz w:val="20"/>
                <w:szCs w:val="20"/>
              </w:rPr>
              <w:t>Parametr wymagany/ wartość</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b/>
                <w:sz w:val="20"/>
                <w:szCs w:val="20"/>
              </w:rPr>
            </w:pPr>
            <w:r w:rsidRPr="004B052C">
              <w:rPr>
                <w:rFonts w:ascii="Calibri" w:hAnsi="Calibri" w:cs="Calibri"/>
                <w:b/>
                <w:sz w:val="20"/>
                <w:szCs w:val="20"/>
              </w:rPr>
              <w:t>Parametr oferowany</w:t>
            </w:r>
          </w:p>
        </w:tc>
        <w:tc>
          <w:tcPr>
            <w:tcW w:w="3260" w:type="dxa"/>
            <w:shd w:val="clear" w:color="auto" w:fill="FFFFFF"/>
            <w:vAlign w:val="center"/>
          </w:tcPr>
          <w:p w:rsidR="00F40F2E" w:rsidRPr="00C43122" w:rsidRDefault="00F40F2E" w:rsidP="002F3D91">
            <w:pPr>
              <w:jc w:val="center"/>
              <w:rPr>
                <w:rFonts w:cs="Calibri"/>
                <w:b/>
                <w:sz w:val="20"/>
                <w:szCs w:val="20"/>
              </w:rPr>
            </w:pPr>
            <w:r w:rsidRPr="00C43122">
              <w:rPr>
                <w:rFonts w:cs="Calibri"/>
                <w:b/>
                <w:sz w:val="20"/>
                <w:szCs w:val="20"/>
              </w:rPr>
              <w:t>Sposób oceny parametru</w:t>
            </w:r>
          </w:p>
        </w:tc>
      </w:tr>
      <w:tr w:rsidR="00F40F2E" w:rsidRPr="00C43122" w:rsidTr="004A022F">
        <w:trPr>
          <w:tblHeader/>
        </w:trPr>
        <w:tc>
          <w:tcPr>
            <w:tcW w:w="567" w:type="dxa"/>
            <w:shd w:val="clear" w:color="auto" w:fill="EEECE1"/>
            <w:vAlign w:val="center"/>
          </w:tcPr>
          <w:p w:rsidR="00F40F2E" w:rsidRPr="004A022F" w:rsidRDefault="00F40F2E"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F40F2E" w:rsidRPr="00C43122" w:rsidRDefault="00F40F2E" w:rsidP="000558C8">
            <w:pPr>
              <w:rPr>
                <w:rFonts w:cs="Calibri"/>
                <w:sz w:val="20"/>
                <w:szCs w:val="20"/>
              </w:rPr>
            </w:pPr>
            <w:r w:rsidRPr="00C43122">
              <w:rPr>
                <w:rFonts w:cs="Calibri"/>
                <w:b/>
                <w:bCs/>
                <w:sz w:val="20"/>
                <w:lang w:val="en-US"/>
              </w:rPr>
              <w:t>GWARANCJE</w:t>
            </w:r>
          </w:p>
        </w:tc>
      </w:tr>
      <w:tr w:rsidR="00F40F2E" w:rsidRPr="00C43122" w:rsidTr="004A022F">
        <w:trPr>
          <w:tblHeader/>
        </w:trPr>
        <w:tc>
          <w:tcPr>
            <w:tcW w:w="567" w:type="dxa"/>
            <w:shd w:val="clear" w:color="auto" w:fill="FFFFFF"/>
            <w:vAlign w:val="center"/>
          </w:tcPr>
          <w:p w:rsidR="00F40F2E" w:rsidRPr="004A022F"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ind w:left="0" w:firstLine="0"/>
              <w:rPr>
                <w:rFonts w:ascii="Calibri" w:hAnsi="Calibri" w:cs="Calibri"/>
                <w:bCs/>
                <w:iCs/>
                <w:sz w:val="20"/>
              </w:rPr>
            </w:pPr>
            <w:r w:rsidRPr="004B052C">
              <w:rPr>
                <w:rFonts w:ascii="Calibri" w:hAnsi="Calibri" w:cs="Calibri"/>
                <w:bCs/>
                <w:iCs/>
                <w:sz w:val="20"/>
              </w:rPr>
              <w:t>okres gwarancji dla aparatu oraz wszystkich współpracujących z nimi urządzeń [liczba miesięcy]</w:t>
            </w:r>
          </w:p>
          <w:p w:rsidR="00F40F2E" w:rsidRPr="004B052C" w:rsidRDefault="00F40F2E" w:rsidP="002F3D91">
            <w:pPr>
              <w:pStyle w:val="Nagwek1"/>
              <w:snapToGrid w:val="0"/>
              <w:ind w:left="0" w:firstLine="0"/>
              <w:rPr>
                <w:rFonts w:ascii="Calibri" w:hAnsi="Calibri" w:cs="Calibri"/>
                <w:bCs/>
                <w:kern w:val="0"/>
                <w:sz w:val="20"/>
                <w:lang w:val="en-US" w:eastAsia="en-US"/>
              </w:rPr>
            </w:pPr>
            <w:r w:rsidRPr="004B052C">
              <w:rPr>
                <w:rFonts w:ascii="Calibri" w:hAnsi="Calibri" w:cs="Calibri"/>
                <w:bCs/>
                <w:iCs/>
                <w:sz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10 lat.</w:t>
            </w:r>
          </w:p>
        </w:tc>
        <w:tc>
          <w:tcPr>
            <w:tcW w:w="1984"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r w:rsidRPr="00247AF4">
              <w:rPr>
                <w:rFonts w:ascii="Calibri" w:hAnsi="Calibri" w:cs="Calibri"/>
                <w:sz w:val="20"/>
                <w:szCs w:val="20"/>
              </w:rPr>
              <w:t>&gt;= 24, podać</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2F3D91">
            <w:pPr>
              <w:snapToGrid w:val="0"/>
              <w:jc w:val="center"/>
              <w:rPr>
                <w:rFonts w:cs="Calibri"/>
                <w:sz w:val="20"/>
                <w:szCs w:val="20"/>
              </w:rPr>
            </w:pPr>
            <w:r w:rsidRPr="00C43122">
              <w:rPr>
                <w:rFonts w:cs="Calibri"/>
                <w:sz w:val="20"/>
                <w:szCs w:val="20"/>
              </w:rPr>
              <w:t>Najdłuższy okres ponad minimalnie wymagany – 30 pkt.</w:t>
            </w:r>
          </w:p>
          <w:p w:rsidR="00F40F2E" w:rsidRPr="00C43122" w:rsidRDefault="00F40F2E" w:rsidP="002F3D91">
            <w:pPr>
              <w:jc w:val="center"/>
              <w:rPr>
                <w:rFonts w:cs="Calibri"/>
                <w:sz w:val="20"/>
                <w:szCs w:val="20"/>
              </w:rPr>
            </w:pPr>
            <w:r w:rsidRPr="00C43122">
              <w:rPr>
                <w:rFonts w:cs="Calibri"/>
                <w:sz w:val="20"/>
                <w:szCs w:val="20"/>
              </w:rPr>
              <w:t>Inne – proporcjonalnie mniej  w stosunku do najdłuższego</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ind w:left="0" w:firstLine="0"/>
              <w:rPr>
                <w:rFonts w:ascii="Calibri" w:hAnsi="Calibri" w:cs="Calibri"/>
                <w:bCs/>
                <w:iCs/>
                <w:sz w:val="20"/>
              </w:rPr>
            </w:pPr>
            <w:r w:rsidRPr="004B052C">
              <w:rPr>
                <w:rFonts w:ascii="Calibri" w:hAnsi="Calibri" w:cs="Calibri"/>
                <w:bCs/>
                <w:iCs/>
                <w:sz w:val="20"/>
              </w:rPr>
              <w:t>Zapewnienie  dostępu części zamiennych [liczba lat] – min. 8 lat (peryferyjny sprzęt komputerowy – min. 5 lat</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650"/>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ind w:left="0" w:firstLine="0"/>
              <w:rPr>
                <w:rFonts w:ascii="Calibri" w:hAnsi="Calibri" w:cs="Calibri"/>
                <w:bCs/>
                <w:iCs/>
                <w:sz w:val="20"/>
              </w:rPr>
            </w:pPr>
            <w:r w:rsidRPr="004B052C">
              <w:rPr>
                <w:rFonts w:ascii="Calibri" w:hAnsi="Calibri" w:cs="Calibri"/>
                <w:bCs/>
                <w:iCs/>
                <w:sz w:val="20"/>
              </w:rPr>
              <w:t>termin gwarancji przedłuża się o liczbę dni, w ciągu których Szpital Uniwersytecki nie mógł korzystać ze sprzętu</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145"/>
          <w:tblHeader/>
        </w:trPr>
        <w:tc>
          <w:tcPr>
            <w:tcW w:w="567" w:type="dxa"/>
            <w:shd w:val="clear" w:color="auto" w:fill="EEECE1"/>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F40F2E" w:rsidRPr="00C43122" w:rsidRDefault="00F40F2E" w:rsidP="000558C8">
            <w:pPr>
              <w:snapToGrid w:val="0"/>
              <w:rPr>
                <w:rFonts w:cs="Calibri"/>
                <w:sz w:val="20"/>
                <w:szCs w:val="20"/>
              </w:rPr>
            </w:pPr>
            <w:r w:rsidRPr="00C43122">
              <w:rPr>
                <w:rFonts w:cs="Calibri"/>
                <w:b/>
                <w:bCs/>
                <w:iCs/>
                <w:sz w:val="20"/>
              </w:rPr>
              <w:t>WARUNKI SERWISU</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W cenie oferty -  przeglądy okresowe w okresie gwarancji (w częstotliwości i w zakresie zgodnym z wymogami producenta)</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Wszystkie czynności serwisowe, w tym przeglądy konserwacyjne, w okresie gwarancji - w ramach wynagrodzenia umownego</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Czas reakcji (dotyczy także reakcji zdalnej): „przyjęte zgłoszenie – podjęta naprawa” =&lt; 24 [godz.]</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Możliwość zgłoszeń 24h/dobę, 365 dni/rok</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Wymiana każdego podzespołu na nowy po pierwszej  nieskutecznej próbie jego naprawy</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Zakończenie działań serwisowych – najpóźniej w czasie nie dłuższym niż 3 dni roboczych od dnia zgłoszenia awarii, a w przypadku konieczności importu części zamiennych, nie dłuższym niż 7 dni roboczych od dnia zgłoszenia awarii.</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sz w:val="20"/>
              </w:rPr>
            </w:pPr>
            <w:r w:rsidRPr="004B052C">
              <w:rPr>
                <w:rFonts w:ascii="Calibri" w:hAnsi="Calibri" w:cs="Calibri"/>
                <w:bCs/>
                <w:iCs/>
                <w:sz w:val="20"/>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1209"/>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ind w:left="0" w:firstLine="0"/>
              <w:rPr>
                <w:rFonts w:ascii="Calibri" w:hAnsi="Calibri" w:cs="Calibri"/>
                <w:bCs/>
                <w:iCs/>
                <w:sz w:val="20"/>
              </w:rPr>
            </w:pPr>
            <w:r w:rsidRPr="004B052C">
              <w:rPr>
                <w:rFonts w:ascii="Calibri" w:hAnsi="Calibri" w:cs="Calibri"/>
                <w:bCs/>
                <w:iCs/>
                <w:sz w:val="20"/>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260"/>
          <w:tblHeader/>
        </w:trPr>
        <w:tc>
          <w:tcPr>
            <w:tcW w:w="567" w:type="dxa"/>
            <w:shd w:val="clear" w:color="auto" w:fill="EEECE1"/>
            <w:vAlign w:val="center"/>
          </w:tcPr>
          <w:p w:rsidR="00F40F2E" w:rsidRPr="004B052C" w:rsidRDefault="00F40F2E" w:rsidP="004A022F">
            <w:pPr>
              <w:pStyle w:val="Zawartotabeli"/>
              <w:numPr>
                <w:ilvl w:val="0"/>
                <w:numId w:val="17"/>
              </w:numPr>
              <w:snapToGrid w:val="0"/>
              <w:ind w:left="512" w:hanging="512"/>
              <w:rPr>
                <w:rFonts w:ascii="Calibri" w:hAnsi="Calibri" w:cs="Calibri"/>
                <w:b/>
                <w:sz w:val="20"/>
                <w:szCs w:val="20"/>
              </w:rPr>
            </w:pPr>
          </w:p>
        </w:tc>
        <w:tc>
          <w:tcPr>
            <w:tcW w:w="14459" w:type="dxa"/>
            <w:gridSpan w:val="4"/>
            <w:shd w:val="clear" w:color="auto" w:fill="EEECE1"/>
            <w:vAlign w:val="center"/>
          </w:tcPr>
          <w:p w:rsidR="00F40F2E" w:rsidRPr="00C43122" w:rsidRDefault="00F40F2E" w:rsidP="000558C8">
            <w:pPr>
              <w:snapToGrid w:val="0"/>
              <w:rPr>
                <w:rFonts w:cs="Calibri"/>
                <w:sz w:val="20"/>
                <w:szCs w:val="20"/>
              </w:rPr>
            </w:pPr>
            <w:r w:rsidRPr="00C43122">
              <w:rPr>
                <w:rFonts w:cs="Calibri"/>
                <w:b/>
                <w:bCs/>
                <w:iCs/>
                <w:sz w:val="20"/>
              </w:rPr>
              <w:t>SZKOLENIA</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Szkolenia dla personelu  medycznego z zakresu obsługi urządzeń min. 16 osób z możliwością podziału i szkolenia w mniejszych podgrupach) w terminie uzgodnionym; w razie potrzeby możliwość stałego wsparcia aplikacyjnego w początkowym (do 6  -ciu miesięcy) okresie pracy urządzeń (dodatkowe szkolenie, dodatkowa grupa osób, konsultacje, itp.)</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1224"/>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4957D7">
            <w:pPr>
              <w:pStyle w:val="Nagwek1"/>
              <w:ind w:left="0" w:firstLine="0"/>
              <w:rPr>
                <w:rFonts w:ascii="Calibri" w:hAnsi="Calibri" w:cs="Calibri"/>
                <w:bCs/>
                <w:iCs/>
                <w:sz w:val="20"/>
              </w:rPr>
            </w:pPr>
            <w:r w:rsidRPr="004B052C">
              <w:rPr>
                <w:rFonts w:ascii="Calibri" w:hAnsi="Calibri" w:cs="Calibri"/>
                <w:bCs/>
                <w:iCs/>
                <w:sz w:val="20"/>
              </w:rPr>
              <w:t xml:space="preserve">Szkolenia dla personelu technicznego (4 osoby) z zakresu podstawowej diagnostyki stanu technicznego i </w:t>
            </w:r>
            <w:r>
              <w:rPr>
                <w:rFonts w:ascii="Calibri" w:hAnsi="Calibri" w:cs="Calibri"/>
                <w:bCs/>
                <w:iCs/>
                <w:sz w:val="20"/>
              </w:rPr>
              <w:t>w</w:t>
            </w:r>
            <w:r w:rsidRPr="004B052C">
              <w:rPr>
                <w:rFonts w:ascii="Calibri" w:hAnsi="Calibri" w:cs="Calibri"/>
                <w:bCs/>
                <w:iCs/>
                <w:sz w:val="20"/>
              </w:rPr>
              <w:t>ykonywania podstawowych czynności konserwacyjnych; w razie potrzeby możliwość stałego wsparcia aplikacyjnego w początkowym (do 6-iu miesięcy) okresie pracy urządzeń - dodatkowe szkolenie, dodatkowa grupa osób, konsultacje itp.</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Szkolenia dla informatyków (3 osoby) z zakresu podstawowej konfiguracji i diagnostyki elementów komunikacji sieciowej TCP/IP i DICOM</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Liczba i okres szkoleń:</w:t>
            </w:r>
          </w:p>
          <w:p w:rsidR="00F40F2E" w:rsidRPr="00463205" w:rsidRDefault="00F40F2E" w:rsidP="00463205">
            <w:pPr>
              <w:pStyle w:val="Nagwek1"/>
              <w:snapToGrid w:val="0"/>
              <w:ind w:left="0" w:firstLine="0"/>
              <w:rPr>
                <w:rFonts w:ascii="Calibri" w:hAnsi="Calibri" w:cs="Calibri"/>
                <w:bCs/>
                <w:iCs/>
                <w:sz w:val="20"/>
              </w:rPr>
            </w:pPr>
            <w:r w:rsidRPr="004B052C">
              <w:rPr>
                <w:rFonts w:ascii="Calibri" w:hAnsi="Calibri" w:cs="Calibri"/>
                <w:bCs/>
                <w:iCs/>
                <w:sz w:val="20"/>
              </w:rPr>
              <w:t xml:space="preserve">pierwsze szkolenie - tuż po instalacji systemu, w wymiarze do </w:t>
            </w:r>
            <w:r>
              <w:rPr>
                <w:rFonts w:ascii="Calibri" w:hAnsi="Calibri" w:cs="Calibri"/>
                <w:bCs/>
                <w:iCs/>
                <w:sz w:val="20"/>
              </w:rPr>
              <w:t>2</w:t>
            </w:r>
            <w:r w:rsidRPr="004B052C">
              <w:rPr>
                <w:rFonts w:ascii="Calibri" w:hAnsi="Calibri" w:cs="Calibri"/>
                <w:bCs/>
                <w:iCs/>
                <w:sz w:val="20"/>
              </w:rPr>
              <w:t xml:space="preserve"> dni roboczych</w:t>
            </w:r>
            <w:r>
              <w:rPr>
                <w:rFonts w:ascii="Calibri" w:hAnsi="Calibri" w:cs="Calibri"/>
                <w:bCs/>
                <w:iCs/>
                <w:sz w:val="20"/>
              </w:rPr>
              <w:t xml:space="preserve"> </w:t>
            </w:r>
            <w:r w:rsidRPr="00463205">
              <w:rPr>
                <w:rFonts w:ascii="Calibri" w:hAnsi="Calibri" w:cs="Calibri"/>
                <w:bCs/>
                <w:iCs/>
                <w:sz w:val="20"/>
              </w:rPr>
              <w:t>dodatkowe, w razie potrzeby, w innym terminie ustalonym z kierownikiem pracowni,</w:t>
            </w:r>
          </w:p>
          <w:p w:rsidR="00F40F2E" w:rsidRPr="004B052C" w:rsidRDefault="00F40F2E" w:rsidP="002F3D91">
            <w:pPr>
              <w:pStyle w:val="Nagwek1"/>
              <w:snapToGrid w:val="0"/>
              <w:ind w:left="0" w:firstLine="0"/>
              <w:rPr>
                <w:rFonts w:ascii="Calibri" w:hAnsi="Calibri" w:cs="Calibri"/>
                <w:bCs/>
                <w:iCs/>
                <w:sz w:val="20"/>
              </w:rPr>
            </w:pPr>
          </w:p>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Uwaga – szkolenie dodatkowe w identycznym wymiarze osobowym jak wyżej</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A022F" w:rsidRDefault="00F40F2E" w:rsidP="004A022F">
            <w:pPr>
              <w:pStyle w:val="Nagwek1"/>
              <w:snapToGrid w:val="0"/>
              <w:ind w:left="0" w:firstLine="0"/>
              <w:rPr>
                <w:rFonts w:ascii="Calibri" w:hAnsi="Calibri" w:cs="Calibri"/>
                <w:bCs/>
                <w:iCs/>
                <w:sz w:val="20"/>
              </w:rPr>
            </w:pPr>
            <w:r>
              <w:rPr>
                <w:rFonts w:ascii="Calibri" w:hAnsi="Calibri" w:cs="Calibri"/>
                <w:bCs/>
                <w:iCs/>
                <w:sz w:val="20"/>
              </w:rPr>
              <w:t xml:space="preserve">Szkolenie aplikacyjne w miejscu pracy urządzenia po uruchomieniu i uzyskaniu wszelkich pozwoleń, przez cały oferowany okres gwarancji w wymiarze minimum 5 dni rocznie. </w:t>
            </w:r>
          </w:p>
        </w:tc>
        <w:tc>
          <w:tcPr>
            <w:tcW w:w="1984" w:type="dxa"/>
            <w:shd w:val="clear" w:color="auto" w:fill="FFFFFF"/>
            <w:vAlign w:val="center"/>
          </w:tcPr>
          <w:p w:rsidR="00F40F2E" w:rsidRPr="00C43122" w:rsidRDefault="00F40F2E" w:rsidP="009C445D">
            <w:pPr>
              <w:jc w:val="center"/>
            </w:pPr>
            <w:r w:rsidRPr="00C43122">
              <w:rPr>
                <w:rFonts w:cs="Calibri"/>
                <w:sz w:val="20"/>
                <w:szCs w:val="20"/>
              </w:rPr>
              <w:t>TAK</w:t>
            </w:r>
          </w:p>
        </w:tc>
        <w:tc>
          <w:tcPr>
            <w:tcW w:w="3119" w:type="dxa"/>
            <w:shd w:val="clear" w:color="auto" w:fill="FFFFFF"/>
            <w:vAlign w:val="center"/>
          </w:tcPr>
          <w:p w:rsidR="00F40F2E" w:rsidRPr="004B052C" w:rsidRDefault="00F40F2E" w:rsidP="009C445D">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273"/>
          <w:tblHeader/>
        </w:trPr>
        <w:tc>
          <w:tcPr>
            <w:tcW w:w="567" w:type="dxa"/>
            <w:shd w:val="clear" w:color="auto" w:fill="EEECE1"/>
            <w:vAlign w:val="center"/>
          </w:tcPr>
          <w:p w:rsidR="00F40F2E" w:rsidRPr="004B052C" w:rsidRDefault="00F40F2E" w:rsidP="004A022F">
            <w:pPr>
              <w:pStyle w:val="Zawartotabeli"/>
              <w:numPr>
                <w:ilvl w:val="0"/>
                <w:numId w:val="17"/>
              </w:numPr>
              <w:snapToGrid w:val="0"/>
              <w:ind w:left="512" w:hanging="512"/>
              <w:rPr>
                <w:rFonts w:ascii="Calibri" w:hAnsi="Calibri" w:cs="Calibri"/>
                <w:b/>
                <w:sz w:val="20"/>
                <w:szCs w:val="20"/>
              </w:rPr>
            </w:pPr>
          </w:p>
        </w:tc>
        <w:tc>
          <w:tcPr>
            <w:tcW w:w="14459" w:type="dxa"/>
            <w:gridSpan w:val="4"/>
            <w:shd w:val="clear" w:color="auto" w:fill="EEECE1"/>
            <w:vAlign w:val="center"/>
          </w:tcPr>
          <w:p w:rsidR="00F40F2E" w:rsidRPr="00C43122" w:rsidRDefault="00F40F2E" w:rsidP="000558C8">
            <w:pPr>
              <w:snapToGrid w:val="0"/>
              <w:rPr>
                <w:rFonts w:cs="Calibri"/>
                <w:sz w:val="20"/>
                <w:szCs w:val="20"/>
              </w:rPr>
            </w:pPr>
            <w:r w:rsidRPr="00C43122">
              <w:rPr>
                <w:rFonts w:cs="Calibri"/>
                <w:b/>
                <w:bCs/>
                <w:iCs/>
                <w:sz w:val="20"/>
              </w:rPr>
              <w:t>DOKUMENTACJA</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Instrukcje obsługi w języku polskim w formie elektronicznej i drukowanej (przekazane w momencie dostawy dla każdego egzemplarza) – dotyczy także urządzeń peryferyjnych</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W cenie urządzenia znajduje się komplet akcesoriów, okablowania itp. asortymentu niezbędnego do uruchomienia i funkcjonowania aparatu jako całości w wymaganej specyfikacją konfiguracji</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926"/>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Dokumentacja (lub tzw. lista kontrolna zawierająca wykaz części i czynności) dotycząca przeglądów technicznych w języku polskim (dostarczona przy dostawie)</w:t>
            </w:r>
          </w:p>
          <w:p w:rsidR="00F40F2E" w:rsidRPr="004B052C" w:rsidRDefault="00F40F2E" w:rsidP="002F3D91">
            <w:pPr>
              <w:pStyle w:val="Nagwek1"/>
              <w:ind w:left="0" w:firstLine="0"/>
              <w:rPr>
                <w:rFonts w:ascii="Calibri" w:hAnsi="Calibri" w:cs="Calibri"/>
                <w:bCs/>
                <w:iCs/>
                <w:sz w:val="20"/>
              </w:rPr>
            </w:pPr>
            <w:r w:rsidRPr="004B052C">
              <w:rPr>
                <w:rFonts w:ascii="Calibri" w:hAnsi="Calibri" w:cs="Calibri"/>
                <w:bCs/>
                <w:iCs/>
                <w:sz w:val="20"/>
              </w:rPr>
              <w:t>UWAGA - dokumentacja serwisowa lub oprogramowanie serwisowe które zapewni co najmniej pełną diagnostykę sprzętu, regulację, kalibrację etc.</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Instrukcja konserwacji, mycia, dezynfekcji i sterylizacji dla poszczególnych elementów aparatów. (wykaz środków do czyszczenia dostarczony wraz z urządzeniami)</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Możliwość mycia i dezynfekcji poszczególnych elementów aparatów w oparciu o przedstawione przez wykonawcę zalecane preparaty myjące i dezynfekujące.</w:t>
            </w:r>
          </w:p>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UWAGA – zalecane środki powinny zawierać nazwy związków chemicznych, a nie tylko nazwy handlowe preparatów.</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270"/>
          <w:tblHeader/>
        </w:trPr>
        <w:tc>
          <w:tcPr>
            <w:tcW w:w="567" w:type="dxa"/>
            <w:shd w:val="clear" w:color="auto" w:fill="EEECE1"/>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F40F2E" w:rsidRPr="00C43122" w:rsidRDefault="00F40F2E" w:rsidP="000558C8">
            <w:pPr>
              <w:snapToGrid w:val="0"/>
              <w:rPr>
                <w:rFonts w:cs="Calibri"/>
                <w:b/>
                <w:sz w:val="20"/>
                <w:szCs w:val="20"/>
              </w:rPr>
            </w:pPr>
            <w:r w:rsidRPr="00C43122">
              <w:rPr>
                <w:rFonts w:cs="Calibri"/>
                <w:b/>
                <w:bCs/>
                <w:iCs/>
                <w:sz w:val="20"/>
              </w:rPr>
              <w:t>INNE</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Wykonawca (lub jego następca prawny) pokryje wszystkie koszty w przypadku przekroczenia zadeklarowanych kosztów związanych z wartością opisanych wyżej kontraktów serwisowych i innych kosztów zadeklarowanych w ofercie</w:t>
            </w:r>
          </w:p>
        </w:tc>
        <w:tc>
          <w:tcPr>
            <w:tcW w:w="1984"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r w:rsidRPr="00FD0D68">
              <w:rPr>
                <w:rFonts w:ascii="Calibri" w:hAnsi="Calibri"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bl>
    <w:p w:rsidR="00F40F2E" w:rsidRPr="002F3D91" w:rsidRDefault="00F40F2E" w:rsidP="004957D7">
      <w:pPr>
        <w:rPr>
          <w:rFonts w:cs="Calibri"/>
          <w:sz w:val="20"/>
          <w:szCs w:val="20"/>
        </w:rPr>
      </w:pPr>
    </w:p>
    <w:sectPr w:rsidR="00F40F2E" w:rsidRPr="002F3D91" w:rsidSect="002F1DBF">
      <w:headerReference w:type="default" r:id="rId8"/>
      <w:footerReference w:type="default" r:id="rId9"/>
      <w:pgSz w:w="16838" w:h="11906" w:orient="landscape"/>
      <w:pgMar w:top="1417" w:right="1417" w:bottom="1417" w:left="1417" w:header="284" w:footer="3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925" w:rsidRDefault="000A1925" w:rsidP="00800A7F">
      <w:pPr>
        <w:spacing w:after="0" w:line="240" w:lineRule="auto"/>
      </w:pPr>
      <w:r>
        <w:separator/>
      </w:r>
    </w:p>
  </w:endnote>
  <w:endnote w:type="continuationSeparator" w:id="0">
    <w:p w:rsidR="000A1925" w:rsidRDefault="000A1925" w:rsidP="0080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2E" w:rsidRDefault="000A1925">
    <w:pPr>
      <w:pStyle w:val="Stopka"/>
    </w:pPr>
    <w:r>
      <w:fldChar w:fldCharType="begin"/>
    </w:r>
    <w:r>
      <w:instrText>PAGE   \* MERGEFORMAT</w:instrText>
    </w:r>
    <w:r>
      <w:fldChar w:fldCharType="separate"/>
    </w:r>
    <w:r w:rsidR="00B63E97">
      <w:rPr>
        <w:noProof/>
      </w:rPr>
      <w:t>44</w:t>
    </w:r>
    <w:r>
      <w:rPr>
        <w:noProof/>
      </w:rPr>
      <w:fldChar w:fldCharType="end"/>
    </w:r>
  </w:p>
  <w:p w:rsidR="00F40F2E" w:rsidRDefault="00F40F2E" w:rsidP="002F1DBF">
    <w:pPr>
      <w:pStyle w:val="Stopka"/>
      <w:jc w:val="right"/>
    </w:pPr>
    <w:r w:rsidRPr="002F1DBF">
      <w:rPr>
        <w:rFonts w:ascii="Garamond" w:hAnsi="Garamond" w:cs="Calibri"/>
        <w:sz w:val="22"/>
        <w:szCs w:val="22"/>
      </w:rPr>
      <w:t>podpis i pieczęć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925" w:rsidRDefault="000A1925" w:rsidP="00800A7F">
      <w:pPr>
        <w:spacing w:after="0" w:line="240" w:lineRule="auto"/>
      </w:pPr>
      <w:r>
        <w:separator/>
      </w:r>
    </w:p>
  </w:footnote>
  <w:footnote w:type="continuationSeparator" w:id="0">
    <w:p w:rsidR="000A1925" w:rsidRDefault="000A1925" w:rsidP="00800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2E" w:rsidRDefault="00B63E97" w:rsidP="00800A7F">
    <w:pPr>
      <w:tabs>
        <w:tab w:val="center" w:pos="4536"/>
        <w:tab w:val="right" w:pos="14040"/>
      </w:tabs>
      <w:jc w:val="center"/>
      <w:rPr>
        <w:rFonts w:ascii="Garamond" w:hAnsi="Garamond"/>
        <w:lang w:eastAsia="pl-PL"/>
      </w:rPr>
    </w:pPr>
    <w:r>
      <w:rPr>
        <w:rFonts w:ascii="Times New Roman" w:hAnsi="Times New Roman"/>
        <w:noProof/>
        <w:kern w:val="2"/>
        <w:sz w:val="24"/>
        <w:szCs w:val="24"/>
        <w:lang w:eastAsia="pl-PL"/>
      </w:rPr>
      <w:drawing>
        <wp:inline distT="0" distB="0" distL="0" distR="0">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F40F2E" w:rsidRDefault="00F40F2E" w:rsidP="00B743B5">
    <w:pPr>
      <w:tabs>
        <w:tab w:val="center" w:pos="4536"/>
        <w:tab w:val="right" w:pos="14040"/>
      </w:tabs>
      <w:spacing w:after="0" w:line="240" w:lineRule="auto"/>
      <w:rPr>
        <w:rFonts w:ascii="Garamond" w:hAnsi="Garamond"/>
        <w:lang w:eastAsia="pl-PL"/>
      </w:rPr>
    </w:pPr>
    <w:r>
      <w:rPr>
        <w:rFonts w:ascii="Garamond" w:hAnsi="Garamond"/>
        <w:color w:val="000000"/>
        <w:lang w:eastAsia="pl-PL" w:bidi="hi-IN"/>
      </w:rPr>
      <w:t>NSSU.DFP.271.38</w:t>
    </w:r>
    <w:r w:rsidRPr="00B743B5">
      <w:rPr>
        <w:rFonts w:ascii="Garamond" w:hAnsi="Garamond"/>
        <w:color w:val="000000"/>
        <w:lang w:eastAsia="pl-PL" w:bidi="hi-IN"/>
      </w:rPr>
      <w:t>.2018.LS</w:t>
    </w:r>
    <w:r>
      <w:rPr>
        <w:rFonts w:ascii="Garamond" w:hAnsi="Garamond"/>
        <w:lang w:eastAsia="pl-PL"/>
      </w:rPr>
      <w:tab/>
    </w:r>
    <w:r>
      <w:rPr>
        <w:rFonts w:ascii="Garamond" w:hAnsi="Garamond"/>
        <w:lang w:eastAsia="pl-PL"/>
      </w:rPr>
      <w:tab/>
    </w:r>
    <w:r w:rsidRPr="00FF03BC">
      <w:rPr>
        <w:rFonts w:ascii="Garamond" w:hAnsi="Garamond"/>
        <w:lang w:eastAsia="pl-PL"/>
      </w:rPr>
      <w:t>Załącznik nr 1a do specyfikacji</w:t>
    </w:r>
  </w:p>
  <w:p w:rsidR="00F40F2E" w:rsidRPr="00765BF1" w:rsidRDefault="00F40F2E" w:rsidP="00B743B5">
    <w:pPr>
      <w:tabs>
        <w:tab w:val="center" w:pos="4536"/>
        <w:tab w:val="right" w:pos="14040"/>
      </w:tabs>
      <w:spacing w:after="0" w:line="240" w:lineRule="auto"/>
      <w:rPr>
        <w:rFonts w:ascii="Garamond" w:hAnsi="Garamond"/>
        <w:lang w:eastAsia="pl-PL"/>
      </w:rPr>
    </w:pPr>
    <w:r>
      <w:rPr>
        <w:rFonts w:ascii="Garamond" w:hAnsi="Garamond"/>
        <w:lang w:eastAsia="pl-PL"/>
      </w:rPr>
      <w:tab/>
    </w:r>
    <w:r>
      <w:rPr>
        <w:rFonts w:ascii="Garamond" w:hAnsi="Garamond"/>
        <w:lang w:eastAsia="pl-PL"/>
      </w:rPr>
      <w:tab/>
    </w:r>
    <w:r w:rsidRPr="00FF03BC">
      <w:rPr>
        <w:rFonts w:ascii="Garamond" w:hAnsi="Garamond"/>
        <w:lang w:eastAsia="pl-PL"/>
      </w:rPr>
      <w:t>Załącznik nr …… do umowy</w:t>
    </w:r>
  </w:p>
  <w:p w:rsidR="00F40F2E" w:rsidRDefault="00F40F2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723A8EF4"/>
    <w:lvl w:ilvl="0">
      <w:numFmt w:val="bullet"/>
      <w:lvlText w:val="-"/>
      <w:lvlJc w:val="left"/>
      <w:pPr>
        <w:tabs>
          <w:tab w:val="num" w:pos="360"/>
        </w:tabs>
        <w:ind w:left="360" w:hanging="360"/>
      </w:pPr>
      <w:rPr>
        <w:rFonts w:ascii="Tahoma" w:hAnsi="Tahoma"/>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5"/>
    <w:multiLevelType w:val="singleLevel"/>
    <w:tmpl w:val="00000005"/>
    <w:name w:val="WW8Num3"/>
    <w:lvl w:ilvl="0">
      <w:start w:val="1"/>
      <w:numFmt w:val="bullet"/>
      <w:lvlText w:val=""/>
      <w:lvlJc w:val="left"/>
      <w:pPr>
        <w:tabs>
          <w:tab w:val="num" w:pos="720"/>
        </w:tabs>
        <w:ind w:left="720" w:hanging="360"/>
      </w:pPr>
      <w:rPr>
        <w:rFonts w:ascii="Symbol" w:hAnsi="Symbol"/>
        <w:sz w:val="20"/>
      </w:r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6371B55"/>
    <w:multiLevelType w:val="hybridMultilevel"/>
    <w:tmpl w:val="7390E35C"/>
    <w:lvl w:ilvl="0" w:tplc="6EA41958">
      <w:start w:val="13"/>
      <w:numFmt w:val="decimal"/>
      <w:lvlText w:val="%1."/>
      <w:lvlJc w:val="left"/>
      <w:pPr>
        <w:ind w:left="502" w:hanging="332"/>
      </w:pPr>
      <w:rPr>
        <w:rFonts w:cs="Times New Roman" w:hint="default"/>
      </w:rPr>
    </w:lvl>
    <w:lvl w:ilvl="1" w:tplc="B434B7CA" w:tentative="1">
      <w:start w:val="1"/>
      <w:numFmt w:val="bullet"/>
      <w:lvlText w:val="o"/>
      <w:lvlJc w:val="left"/>
      <w:pPr>
        <w:ind w:left="1440" w:hanging="360"/>
      </w:pPr>
      <w:rPr>
        <w:rFonts w:ascii="Courier New" w:hAnsi="Courier New" w:hint="default"/>
      </w:rPr>
    </w:lvl>
    <w:lvl w:ilvl="2" w:tplc="505A2224" w:tentative="1">
      <w:start w:val="1"/>
      <w:numFmt w:val="bullet"/>
      <w:lvlText w:val=""/>
      <w:lvlJc w:val="left"/>
      <w:pPr>
        <w:ind w:left="2160" w:hanging="360"/>
      </w:pPr>
      <w:rPr>
        <w:rFonts w:ascii="Wingdings" w:hAnsi="Wingdings" w:hint="default"/>
      </w:rPr>
    </w:lvl>
    <w:lvl w:ilvl="3" w:tplc="2C5407F0" w:tentative="1">
      <w:start w:val="1"/>
      <w:numFmt w:val="bullet"/>
      <w:lvlText w:val=""/>
      <w:lvlJc w:val="left"/>
      <w:pPr>
        <w:ind w:left="2880" w:hanging="360"/>
      </w:pPr>
      <w:rPr>
        <w:rFonts w:ascii="Symbol" w:hAnsi="Symbol" w:hint="default"/>
      </w:rPr>
    </w:lvl>
    <w:lvl w:ilvl="4" w:tplc="DF988960" w:tentative="1">
      <w:start w:val="1"/>
      <w:numFmt w:val="bullet"/>
      <w:lvlText w:val="o"/>
      <w:lvlJc w:val="left"/>
      <w:pPr>
        <w:ind w:left="3600" w:hanging="360"/>
      </w:pPr>
      <w:rPr>
        <w:rFonts w:ascii="Courier New" w:hAnsi="Courier New" w:hint="default"/>
      </w:rPr>
    </w:lvl>
    <w:lvl w:ilvl="5" w:tplc="A4BAED9E" w:tentative="1">
      <w:start w:val="1"/>
      <w:numFmt w:val="bullet"/>
      <w:lvlText w:val=""/>
      <w:lvlJc w:val="left"/>
      <w:pPr>
        <w:ind w:left="4320" w:hanging="360"/>
      </w:pPr>
      <w:rPr>
        <w:rFonts w:ascii="Wingdings" w:hAnsi="Wingdings" w:hint="default"/>
      </w:rPr>
    </w:lvl>
    <w:lvl w:ilvl="6" w:tplc="46F82126" w:tentative="1">
      <w:start w:val="1"/>
      <w:numFmt w:val="bullet"/>
      <w:lvlText w:val=""/>
      <w:lvlJc w:val="left"/>
      <w:pPr>
        <w:ind w:left="5040" w:hanging="360"/>
      </w:pPr>
      <w:rPr>
        <w:rFonts w:ascii="Symbol" w:hAnsi="Symbol" w:hint="default"/>
      </w:rPr>
    </w:lvl>
    <w:lvl w:ilvl="7" w:tplc="2306EDEA" w:tentative="1">
      <w:start w:val="1"/>
      <w:numFmt w:val="bullet"/>
      <w:lvlText w:val="o"/>
      <w:lvlJc w:val="left"/>
      <w:pPr>
        <w:ind w:left="5760" w:hanging="360"/>
      </w:pPr>
      <w:rPr>
        <w:rFonts w:ascii="Courier New" w:hAnsi="Courier New" w:hint="default"/>
      </w:rPr>
    </w:lvl>
    <w:lvl w:ilvl="8" w:tplc="ACD04E62" w:tentative="1">
      <w:start w:val="1"/>
      <w:numFmt w:val="bullet"/>
      <w:lvlText w:val=""/>
      <w:lvlJc w:val="left"/>
      <w:pPr>
        <w:ind w:left="6480" w:hanging="360"/>
      </w:pPr>
      <w:rPr>
        <w:rFonts w:ascii="Wingdings" w:hAnsi="Wingdings" w:hint="default"/>
      </w:rPr>
    </w:lvl>
  </w:abstractNum>
  <w:abstractNum w:abstractNumId="5">
    <w:nsid w:val="0BAD1AD4"/>
    <w:multiLevelType w:val="hybridMultilevel"/>
    <w:tmpl w:val="A9CEDA3C"/>
    <w:lvl w:ilvl="0" w:tplc="4E1AAF60">
      <w:numFmt w:val="bullet"/>
      <w:lvlText w:val=""/>
      <w:lvlJc w:val="left"/>
      <w:pPr>
        <w:ind w:left="720" w:hanging="360"/>
      </w:pPr>
      <w:rPr>
        <w:rFonts w:ascii="Wingdings" w:eastAsia="Times New Roman"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A0951DC"/>
    <w:multiLevelType w:val="hybridMultilevel"/>
    <w:tmpl w:val="7382B1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nsid w:val="469E5C67"/>
    <w:multiLevelType w:val="hybridMultilevel"/>
    <w:tmpl w:val="014AEFAE"/>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720" w:hanging="360"/>
      </w:pPr>
      <w:rPr>
        <w:rFonts w:ascii="Courier New" w:hAnsi="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9">
    <w:nsid w:val="47792F87"/>
    <w:multiLevelType w:val="hybridMultilevel"/>
    <w:tmpl w:val="C3A6731E"/>
    <w:lvl w:ilvl="0" w:tplc="ED6E4B88">
      <w:start w:val="33"/>
      <w:numFmt w:val="decimal"/>
      <w:lvlText w:val="%1."/>
      <w:lvlJc w:val="left"/>
      <w:pPr>
        <w:ind w:left="502" w:hanging="332"/>
      </w:pPr>
      <w:rPr>
        <w:rFonts w:cs="Times New Roman" w:hint="default"/>
      </w:rPr>
    </w:lvl>
    <w:lvl w:ilvl="1" w:tplc="1F0EA29E" w:tentative="1">
      <w:start w:val="1"/>
      <w:numFmt w:val="bullet"/>
      <w:lvlText w:val="o"/>
      <w:lvlJc w:val="left"/>
      <w:pPr>
        <w:ind w:left="1440" w:hanging="360"/>
      </w:pPr>
      <w:rPr>
        <w:rFonts w:ascii="Courier New" w:hAnsi="Courier New" w:hint="default"/>
      </w:rPr>
    </w:lvl>
    <w:lvl w:ilvl="2" w:tplc="EF6A52EE" w:tentative="1">
      <w:start w:val="1"/>
      <w:numFmt w:val="bullet"/>
      <w:lvlText w:val=""/>
      <w:lvlJc w:val="left"/>
      <w:pPr>
        <w:ind w:left="2160" w:hanging="360"/>
      </w:pPr>
      <w:rPr>
        <w:rFonts w:ascii="Wingdings" w:hAnsi="Wingdings" w:hint="default"/>
      </w:rPr>
    </w:lvl>
    <w:lvl w:ilvl="3" w:tplc="DCC4F9C6" w:tentative="1">
      <w:start w:val="1"/>
      <w:numFmt w:val="bullet"/>
      <w:lvlText w:val=""/>
      <w:lvlJc w:val="left"/>
      <w:pPr>
        <w:ind w:left="2880" w:hanging="360"/>
      </w:pPr>
      <w:rPr>
        <w:rFonts w:ascii="Symbol" w:hAnsi="Symbol" w:hint="default"/>
      </w:rPr>
    </w:lvl>
    <w:lvl w:ilvl="4" w:tplc="AFC8065A" w:tentative="1">
      <w:start w:val="1"/>
      <w:numFmt w:val="bullet"/>
      <w:lvlText w:val="o"/>
      <w:lvlJc w:val="left"/>
      <w:pPr>
        <w:ind w:left="3600" w:hanging="360"/>
      </w:pPr>
      <w:rPr>
        <w:rFonts w:ascii="Courier New" w:hAnsi="Courier New" w:hint="default"/>
      </w:rPr>
    </w:lvl>
    <w:lvl w:ilvl="5" w:tplc="1B5AAC80" w:tentative="1">
      <w:start w:val="1"/>
      <w:numFmt w:val="bullet"/>
      <w:lvlText w:val=""/>
      <w:lvlJc w:val="left"/>
      <w:pPr>
        <w:ind w:left="4320" w:hanging="360"/>
      </w:pPr>
      <w:rPr>
        <w:rFonts w:ascii="Wingdings" w:hAnsi="Wingdings" w:hint="default"/>
      </w:rPr>
    </w:lvl>
    <w:lvl w:ilvl="6" w:tplc="4F3E8DA2" w:tentative="1">
      <w:start w:val="1"/>
      <w:numFmt w:val="bullet"/>
      <w:lvlText w:val=""/>
      <w:lvlJc w:val="left"/>
      <w:pPr>
        <w:ind w:left="5040" w:hanging="360"/>
      </w:pPr>
      <w:rPr>
        <w:rFonts w:ascii="Symbol" w:hAnsi="Symbol" w:hint="default"/>
      </w:rPr>
    </w:lvl>
    <w:lvl w:ilvl="7" w:tplc="2C46F35A" w:tentative="1">
      <w:start w:val="1"/>
      <w:numFmt w:val="bullet"/>
      <w:lvlText w:val="o"/>
      <w:lvlJc w:val="left"/>
      <w:pPr>
        <w:ind w:left="5760" w:hanging="360"/>
      </w:pPr>
      <w:rPr>
        <w:rFonts w:ascii="Courier New" w:hAnsi="Courier New" w:hint="default"/>
      </w:rPr>
    </w:lvl>
    <w:lvl w:ilvl="8" w:tplc="511AE16A" w:tentative="1">
      <w:start w:val="1"/>
      <w:numFmt w:val="bullet"/>
      <w:lvlText w:val=""/>
      <w:lvlJc w:val="left"/>
      <w:pPr>
        <w:ind w:left="6480" w:hanging="360"/>
      </w:pPr>
      <w:rPr>
        <w:rFonts w:ascii="Wingdings" w:hAnsi="Wingdings" w:hint="default"/>
      </w:rPr>
    </w:lvl>
  </w:abstractNum>
  <w:abstractNum w:abstractNumId="10">
    <w:nsid w:val="4BA66BC3"/>
    <w:multiLevelType w:val="hybridMultilevel"/>
    <w:tmpl w:val="EFEA8744"/>
    <w:lvl w:ilvl="0" w:tplc="D4A08548">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E413C53"/>
    <w:multiLevelType w:val="hybridMultilevel"/>
    <w:tmpl w:val="431C0D4C"/>
    <w:lvl w:ilvl="0" w:tplc="9574023A">
      <w:start w:val="1"/>
      <w:numFmt w:val="decimal"/>
      <w:lvlText w:val="%1."/>
      <w:lvlJc w:val="left"/>
      <w:pPr>
        <w:ind w:left="502" w:hanging="332"/>
      </w:pPr>
      <w:rPr>
        <w:rFonts w:cs="Times New Roman" w:hint="default"/>
      </w:rPr>
    </w:lvl>
    <w:lvl w:ilvl="1" w:tplc="C53C15B4" w:tentative="1">
      <w:start w:val="1"/>
      <w:numFmt w:val="bullet"/>
      <w:lvlText w:val="o"/>
      <w:lvlJc w:val="left"/>
      <w:pPr>
        <w:ind w:left="1440" w:hanging="360"/>
      </w:pPr>
      <w:rPr>
        <w:rFonts w:ascii="Courier New" w:hAnsi="Courier New" w:hint="default"/>
      </w:rPr>
    </w:lvl>
    <w:lvl w:ilvl="2" w:tplc="082A9DF6" w:tentative="1">
      <w:start w:val="1"/>
      <w:numFmt w:val="bullet"/>
      <w:lvlText w:val=""/>
      <w:lvlJc w:val="left"/>
      <w:pPr>
        <w:ind w:left="2160" w:hanging="360"/>
      </w:pPr>
      <w:rPr>
        <w:rFonts w:ascii="Wingdings" w:hAnsi="Wingdings" w:hint="default"/>
      </w:rPr>
    </w:lvl>
    <w:lvl w:ilvl="3" w:tplc="55004456" w:tentative="1">
      <w:start w:val="1"/>
      <w:numFmt w:val="bullet"/>
      <w:lvlText w:val=""/>
      <w:lvlJc w:val="left"/>
      <w:pPr>
        <w:ind w:left="2880" w:hanging="360"/>
      </w:pPr>
      <w:rPr>
        <w:rFonts w:ascii="Symbol" w:hAnsi="Symbol" w:hint="default"/>
      </w:rPr>
    </w:lvl>
    <w:lvl w:ilvl="4" w:tplc="0A304B3A" w:tentative="1">
      <w:start w:val="1"/>
      <w:numFmt w:val="bullet"/>
      <w:lvlText w:val="o"/>
      <w:lvlJc w:val="left"/>
      <w:pPr>
        <w:ind w:left="3600" w:hanging="360"/>
      </w:pPr>
      <w:rPr>
        <w:rFonts w:ascii="Courier New" w:hAnsi="Courier New" w:hint="default"/>
      </w:rPr>
    </w:lvl>
    <w:lvl w:ilvl="5" w:tplc="3FC4B156" w:tentative="1">
      <w:start w:val="1"/>
      <w:numFmt w:val="bullet"/>
      <w:lvlText w:val=""/>
      <w:lvlJc w:val="left"/>
      <w:pPr>
        <w:ind w:left="4320" w:hanging="360"/>
      </w:pPr>
      <w:rPr>
        <w:rFonts w:ascii="Wingdings" w:hAnsi="Wingdings" w:hint="default"/>
      </w:rPr>
    </w:lvl>
    <w:lvl w:ilvl="6" w:tplc="B0B21018" w:tentative="1">
      <w:start w:val="1"/>
      <w:numFmt w:val="bullet"/>
      <w:lvlText w:val=""/>
      <w:lvlJc w:val="left"/>
      <w:pPr>
        <w:ind w:left="5040" w:hanging="360"/>
      </w:pPr>
      <w:rPr>
        <w:rFonts w:ascii="Symbol" w:hAnsi="Symbol" w:hint="default"/>
      </w:rPr>
    </w:lvl>
    <w:lvl w:ilvl="7" w:tplc="D36C91EA" w:tentative="1">
      <w:start w:val="1"/>
      <w:numFmt w:val="bullet"/>
      <w:lvlText w:val="o"/>
      <w:lvlJc w:val="left"/>
      <w:pPr>
        <w:ind w:left="5760" w:hanging="360"/>
      </w:pPr>
      <w:rPr>
        <w:rFonts w:ascii="Courier New" w:hAnsi="Courier New" w:hint="default"/>
      </w:rPr>
    </w:lvl>
    <w:lvl w:ilvl="8" w:tplc="3F66AD0C" w:tentative="1">
      <w:start w:val="1"/>
      <w:numFmt w:val="bullet"/>
      <w:lvlText w:val=""/>
      <w:lvlJc w:val="left"/>
      <w:pPr>
        <w:ind w:left="6480" w:hanging="360"/>
      </w:pPr>
      <w:rPr>
        <w:rFonts w:ascii="Wingdings" w:hAnsi="Wingdings" w:hint="default"/>
      </w:rPr>
    </w:lvl>
  </w:abstractNum>
  <w:abstractNum w:abstractNumId="12">
    <w:nsid w:val="67671E21"/>
    <w:multiLevelType w:val="hybridMultilevel"/>
    <w:tmpl w:val="B80C3D60"/>
    <w:lvl w:ilvl="0" w:tplc="56E64C8A">
      <w:numFmt w:val="bullet"/>
      <w:lvlText w:val=""/>
      <w:lvlJc w:val="left"/>
      <w:pPr>
        <w:ind w:left="1080" w:hanging="360"/>
      </w:pPr>
      <w:rPr>
        <w:rFonts w:ascii="Wingdings" w:eastAsia="Times New Roman"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680F4A4C"/>
    <w:multiLevelType w:val="hybridMultilevel"/>
    <w:tmpl w:val="7EFAC02C"/>
    <w:lvl w:ilvl="0" w:tplc="E2985FD2">
      <w:start w:val="1"/>
      <w:numFmt w:val="decimal"/>
      <w:lvlText w:val="%1."/>
      <w:lvlJc w:val="left"/>
      <w:pPr>
        <w:ind w:left="644"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71F23228"/>
    <w:multiLevelType w:val="hybridMultilevel"/>
    <w:tmpl w:val="34143380"/>
    <w:lvl w:ilvl="0" w:tplc="CA2802CC">
      <w:start w:val="29"/>
      <w:numFmt w:val="decimal"/>
      <w:lvlText w:val="%1."/>
      <w:lvlJc w:val="left"/>
      <w:pPr>
        <w:ind w:left="502" w:hanging="332"/>
      </w:pPr>
      <w:rPr>
        <w:rFonts w:cs="Times New Roman" w:hint="default"/>
      </w:rPr>
    </w:lvl>
    <w:lvl w:ilvl="1" w:tplc="A59E073A" w:tentative="1">
      <w:start w:val="1"/>
      <w:numFmt w:val="bullet"/>
      <w:lvlText w:val="o"/>
      <w:lvlJc w:val="left"/>
      <w:pPr>
        <w:ind w:left="1440" w:hanging="360"/>
      </w:pPr>
      <w:rPr>
        <w:rFonts w:ascii="Courier New" w:hAnsi="Courier New" w:hint="default"/>
      </w:rPr>
    </w:lvl>
    <w:lvl w:ilvl="2" w:tplc="7C9A7F1E" w:tentative="1">
      <w:start w:val="1"/>
      <w:numFmt w:val="bullet"/>
      <w:lvlText w:val=""/>
      <w:lvlJc w:val="left"/>
      <w:pPr>
        <w:ind w:left="2160" w:hanging="360"/>
      </w:pPr>
      <w:rPr>
        <w:rFonts w:ascii="Wingdings" w:hAnsi="Wingdings" w:hint="default"/>
      </w:rPr>
    </w:lvl>
    <w:lvl w:ilvl="3" w:tplc="23943FB6" w:tentative="1">
      <w:start w:val="1"/>
      <w:numFmt w:val="bullet"/>
      <w:lvlText w:val=""/>
      <w:lvlJc w:val="left"/>
      <w:pPr>
        <w:ind w:left="2880" w:hanging="360"/>
      </w:pPr>
      <w:rPr>
        <w:rFonts w:ascii="Symbol" w:hAnsi="Symbol" w:hint="default"/>
      </w:rPr>
    </w:lvl>
    <w:lvl w:ilvl="4" w:tplc="99283450" w:tentative="1">
      <w:start w:val="1"/>
      <w:numFmt w:val="bullet"/>
      <w:lvlText w:val="o"/>
      <w:lvlJc w:val="left"/>
      <w:pPr>
        <w:ind w:left="3600" w:hanging="360"/>
      </w:pPr>
      <w:rPr>
        <w:rFonts w:ascii="Courier New" w:hAnsi="Courier New" w:hint="default"/>
      </w:rPr>
    </w:lvl>
    <w:lvl w:ilvl="5" w:tplc="28F21E8A" w:tentative="1">
      <w:start w:val="1"/>
      <w:numFmt w:val="bullet"/>
      <w:lvlText w:val=""/>
      <w:lvlJc w:val="left"/>
      <w:pPr>
        <w:ind w:left="4320" w:hanging="360"/>
      </w:pPr>
      <w:rPr>
        <w:rFonts w:ascii="Wingdings" w:hAnsi="Wingdings" w:hint="default"/>
      </w:rPr>
    </w:lvl>
    <w:lvl w:ilvl="6" w:tplc="E5860330" w:tentative="1">
      <w:start w:val="1"/>
      <w:numFmt w:val="bullet"/>
      <w:lvlText w:val=""/>
      <w:lvlJc w:val="left"/>
      <w:pPr>
        <w:ind w:left="5040" w:hanging="360"/>
      </w:pPr>
      <w:rPr>
        <w:rFonts w:ascii="Symbol" w:hAnsi="Symbol" w:hint="default"/>
      </w:rPr>
    </w:lvl>
    <w:lvl w:ilvl="7" w:tplc="8B34F344" w:tentative="1">
      <w:start w:val="1"/>
      <w:numFmt w:val="bullet"/>
      <w:lvlText w:val="o"/>
      <w:lvlJc w:val="left"/>
      <w:pPr>
        <w:ind w:left="5760" w:hanging="360"/>
      </w:pPr>
      <w:rPr>
        <w:rFonts w:ascii="Courier New" w:hAnsi="Courier New" w:hint="default"/>
      </w:rPr>
    </w:lvl>
    <w:lvl w:ilvl="8" w:tplc="086EA81A" w:tentative="1">
      <w:start w:val="1"/>
      <w:numFmt w:val="bullet"/>
      <w:lvlText w:val=""/>
      <w:lvlJc w:val="left"/>
      <w:pPr>
        <w:ind w:left="6480" w:hanging="360"/>
      </w:pPr>
      <w:rPr>
        <w:rFonts w:ascii="Wingdings" w:hAnsi="Wingdings" w:hint="default"/>
      </w:rPr>
    </w:lvl>
  </w:abstractNum>
  <w:abstractNum w:abstractNumId="15">
    <w:nsid w:val="785D5CEC"/>
    <w:multiLevelType w:val="hybridMultilevel"/>
    <w:tmpl w:val="08EEDF5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7C19275A"/>
    <w:multiLevelType w:val="hybridMultilevel"/>
    <w:tmpl w:val="D0F838E0"/>
    <w:lvl w:ilvl="0" w:tplc="152EEB7E">
      <w:start w:val="1"/>
      <w:numFmt w:val="bullet"/>
      <w:lvlText w:val=""/>
      <w:lvlJc w:val="left"/>
      <w:pPr>
        <w:ind w:hanging="360"/>
      </w:pPr>
      <w:rPr>
        <w:rFonts w:ascii="Symbol" w:hAnsi="Symbol" w:hint="default"/>
      </w:rPr>
    </w:lvl>
    <w:lvl w:ilvl="1" w:tplc="EF400C2C" w:tentative="1">
      <w:start w:val="1"/>
      <w:numFmt w:val="bullet"/>
      <w:lvlText w:val="o"/>
      <w:lvlJc w:val="left"/>
      <w:pPr>
        <w:ind w:left="720" w:hanging="360"/>
      </w:pPr>
      <w:rPr>
        <w:rFonts w:ascii="Courier New" w:hAnsi="Courier New" w:hint="default"/>
      </w:rPr>
    </w:lvl>
    <w:lvl w:ilvl="2" w:tplc="712AB8C4" w:tentative="1">
      <w:start w:val="1"/>
      <w:numFmt w:val="bullet"/>
      <w:lvlText w:val=""/>
      <w:lvlJc w:val="left"/>
      <w:pPr>
        <w:ind w:left="1440" w:hanging="360"/>
      </w:pPr>
      <w:rPr>
        <w:rFonts w:ascii="Wingdings" w:hAnsi="Wingdings" w:hint="default"/>
      </w:rPr>
    </w:lvl>
    <w:lvl w:ilvl="3" w:tplc="BE1E1862" w:tentative="1">
      <w:start w:val="1"/>
      <w:numFmt w:val="bullet"/>
      <w:lvlText w:val=""/>
      <w:lvlJc w:val="left"/>
      <w:pPr>
        <w:ind w:left="2160" w:hanging="360"/>
      </w:pPr>
      <w:rPr>
        <w:rFonts w:ascii="Symbol" w:hAnsi="Symbol" w:hint="default"/>
      </w:rPr>
    </w:lvl>
    <w:lvl w:ilvl="4" w:tplc="EF845D16" w:tentative="1">
      <w:start w:val="1"/>
      <w:numFmt w:val="bullet"/>
      <w:lvlText w:val="o"/>
      <w:lvlJc w:val="left"/>
      <w:pPr>
        <w:ind w:left="2880" w:hanging="360"/>
      </w:pPr>
      <w:rPr>
        <w:rFonts w:ascii="Courier New" w:hAnsi="Courier New" w:hint="default"/>
      </w:rPr>
    </w:lvl>
    <w:lvl w:ilvl="5" w:tplc="8B84CD88" w:tentative="1">
      <w:start w:val="1"/>
      <w:numFmt w:val="bullet"/>
      <w:lvlText w:val=""/>
      <w:lvlJc w:val="left"/>
      <w:pPr>
        <w:ind w:left="3600" w:hanging="360"/>
      </w:pPr>
      <w:rPr>
        <w:rFonts w:ascii="Wingdings" w:hAnsi="Wingdings" w:hint="default"/>
      </w:rPr>
    </w:lvl>
    <w:lvl w:ilvl="6" w:tplc="966076C4" w:tentative="1">
      <w:start w:val="1"/>
      <w:numFmt w:val="bullet"/>
      <w:lvlText w:val=""/>
      <w:lvlJc w:val="left"/>
      <w:pPr>
        <w:ind w:left="4320" w:hanging="360"/>
      </w:pPr>
      <w:rPr>
        <w:rFonts w:ascii="Symbol" w:hAnsi="Symbol" w:hint="default"/>
      </w:rPr>
    </w:lvl>
    <w:lvl w:ilvl="7" w:tplc="AF024CC6" w:tentative="1">
      <w:start w:val="1"/>
      <w:numFmt w:val="bullet"/>
      <w:lvlText w:val="o"/>
      <w:lvlJc w:val="left"/>
      <w:pPr>
        <w:ind w:left="5040" w:hanging="360"/>
      </w:pPr>
      <w:rPr>
        <w:rFonts w:ascii="Courier New" w:hAnsi="Courier New" w:hint="default"/>
      </w:rPr>
    </w:lvl>
    <w:lvl w:ilvl="8" w:tplc="96A0E87C" w:tentative="1">
      <w:start w:val="1"/>
      <w:numFmt w:val="bullet"/>
      <w:lvlText w:val=""/>
      <w:lvlJc w:val="left"/>
      <w:pPr>
        <w:ind w:left="5760" w:hanging="360"/>
      </w:pPr>
      <w:rPr>
        <w:rFonts w:ascii="Wingdings" w:hAnsi="Wingdings" w:hint="default"/>
      </w:rPr>
    </w:lvl>
  </w:abstractNum>
  <w:num w:numId="1">
    <w:abstractNumId w:val="1"/>
  </w:num>
  <w:num w:numId="2">
    <w:abstractNumId w:val="3"/>
  </w:num>
  <w:num w:numId="3">
    <w:abstractNumId w:val="2"/>
  </w:num>
  <w:num w:numId="4">
    <w:abstractNumId w:val="16"/>
  </w:num>
  <w:num w:numId="5">
    <w:abstractNumId w:val="8"/>
  </w:num>
  <w:num w:numId="6">
    <w:abstractNumId w:val="5"/>
  </w:num>
  <w:num w:numId="7">
    <w:abstractNumId w:val="12"/>
  </w:num>
  <w:num w:numId="8">
    <w:abstractNumId w:val="0"/>
  </w:num>
  <w:num w:numId="9">
    <w:abstractNumId w:val="13"/>
  </w:num>
  <w:num w:numId="10">
    <w:abstractNumId w:val="10"/>
  </w:num>
  <w:num w:numId="11">
    <w:abstractNumId w:val="14"/>
  </w:num>
  <w:num w:numId="12">
    <w:abstractNumId w:val="9"/>
  </w:num>
  <w:num w:numId="13">
    <w:abstractNumId w:val="6"/>
  </w:num>
  <w:num w:numId="14">
    <w:abstractNumId w:val="4"/>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2C"/>
    <w:rsid w:val="000113DA"/>
    <w:rsid w:val="00032F76"/>
    <w:rsid w:val="000558C8"/>
    <w:rsid w:val="00080D72"/>
    <w:rsid w:val="000A1925"/>
    <w:rsid w:val="000A56F1"/>
    <w:rsid w:val="000D5A1B"/>
    <w:rsid w:val="000D6BBD"/>
    <w:rsid w:val="000F75A5"/>
    <w:rsid w:val="0010777A"/>
    <w:rsid w:val="001127F7"/>
    <w:rsid w:val="00117E28"/>
    <w:rsid w:val="00145458"/>
    <w:rsid w:val="00193DE3"/>
    <w:rsid w:val="001C3FC0"/>
    <w:rsid w:val="001D343F"/>
    <w:rsid w:val="001E7072"/>
    <w:rsid w:val="00226E6D"/>
    <w:rsid w:val="00247AF4"/>
    <w:rsid w:val="00252BDF"/>
    <w:rsid w:val="00293383"/>
    <w:rsid w:val="002A737F"/>
    <w:rsid w:val="002B19B1"/>
    <w:rsid w:val="002B1EA4"/>
    <w:rsid w:val="002D1101"/>
    <w:rsid w:val="002F1DBF"/>
    <w:rsid w:val="002F3D91"/>
    <w:rsid w:val="00300FDE"/>
    <w:rsid w:val="00310618"/>
    <w:rsid w:val="00335AA9"/>
    <w:rsid w:val="00353FA6"/>
    <w:rsid w:val="003A7823"/>
    <w:rsid w:val="003C1D1D"/>
    <w:rsid w:val="003D0A9A"/>
    <w:rsid w:val="003E047A"/>
    <w:rsid w:val="00417F17"/>
    <w:rsid w:val="0042384D"/>
    <w:rsid w:val="00436FF7"/>
    <w:rsid w:val="00447E77"/>
    <w:rsid w:val="00463205"/>
    <w:rsid w:val="004957D7"/>
    <w:rsid w:val="004A022F"/>
    <w:rsid w:val="004A38CD"/>
    <w:rsid w:val="004B052C"/>
    <w:rsid w:val="004C58F5"/>
    <w:rsid w:val="004D00C1"/>
    <w:rsid w:val="004F4DA4"/>
    <w:rsid w:val="00507E93"/>
    <w:rsid w:val="0052237E"/>
    <w:rsid w:val="00525528"/>
    <w:rsid w:val="00551458"/>
    <w:rsid w:val="00555062"/>
    <w:rsid w:val="005629EB"/>
    <w:rsid w:val="005674DE"/>
    <w:rsid w:val="0059281A"/>
    <w:rsid w:val="005A59F2"/>
    <w:rsid w:val="005C215E"/>
    <w:rsid w:val="005C7137"/>
    <w:rsid w:val="005D03B8"/>
    <w:rsid w:val="005E447D"/>
    <w:rsid w:val="006015DB"/>
    <w:rsid w:val="006118BA"/>
    <w:rsid w:val="00622FA9"/>
    <w:rsid w:val="00626CF1"/>
    <w:rsid w:val="00663CAD"/>
    <w:rsid w:val="006F522C"/>
    <w:rsid w:val="00713F35"/>
    <w:rsid w:val="00726F07"/>
    <w:rsid w:val="0073280D"/>
    <w:rsid w:val="007332E5"/>
    <w:rsid w:val="00740389"/>
    <w:rsid w:val="00746D6F"/>
    <w:rsid w:val="00765BF1"/>
    <w:rsid w:val="007B3FDC"/>
    <w:rsid w:val="007E2DB1"/>
    <w:rsid w:val="00800A7F"/>
    <w:rsid w:val="008014D8"/>
    <w:rsid w:val="00821559"/>
    <w:rsid w:val="00832657"/>
    <w:rsid w:val="00836009"/>
    <w:rsid w:val="00852909"/>
    <w:rsid w:val="00853C13"/>
    <w:rsid w:val="00887CEE"/>
    <w:rsid w:val="008D547D"/>
    <w:rsid w:val="00900074"/>
    <w:rsid w:val="00933947"/>
    <w:rsid w:val="00941741"/>
    <w:rsid w:val="00941C61"/>
    <w:rsid w:val="009562E5"/>
    <w:rsid w:val="0095758F"/>
    <w:rsid w:val="009813E0"/>
    <w:rsid w:val="00987705"/>
    <w:rsid w:val="009C445D"/>
    <w:rsid w:val="009D23E4"/>
    <w:rsid w:val="009D591E"/>
    <w:rsid w:val="009E606A"/>
    <w:rsid w:val="00A11D83"/>
    <w:rsid w:val="00A1799E"/>
    <w:rsid w:val="00A25576"/>
    <w:rsid w:val="00A267CB"/>
    <w:rsid w:val="00A76A47"/>
    <w:rsid w:val="00A80A9A"/>
    <w:rsid w:val="00A86F0A"/>
    <w:rsid w:val="00A917D5"/>
    <w:rsid w:val="00A95138"/>
    <w:rsid w:val="00A97E1A"/>
    <w:rsid w:val="00AC3B72"/>
    <w:rsid w:val="00AC4212"/>
    <w:rsid w:val="00AF37D3"/>
    <w:rsid w:val="00B12391"/>
    <w:rsid w:val="00B63E97"/>
    <w:rsid w:val="00B65390"/>
    <w:rsid w:val="00B6653F"/>
    <w:rsid w:val="00B743B5"/>
    <w:rsid w:val="00BB2B5B"/>
    <w:rsid w:val="00BD641F"/>
    <w:rsid w:val="00BE0058"/>
    <w:rsid w:val="00BF3045"/>
    <w:rsid w:val="00C044C8"/>
    <w:rsid w:val="00C0785F"/>
    <w:rsid w:val="00C17001"/>
    <w:rsid w:val="00C3512C"/>
    <w:rsid w:val="00C43122"/>
    <w:rsid w:val="00C5768C"/>
    <w:rsid w:val="00C60D4F"/>
    <w:rsid w:val="00C65879"/>
    <w:rsid w:val="00C933B2"/>
    <w:rsid w:val="00C95C82"/>
    <w:rsid w:val="00CC34E3"/>
    <w:rsid w:val="00D16382"/>
    <w:rsid w:val="00D3451E"/>
    <w:rsid w:val="00D6074F"/>
    <w:rsid w:val="00DA5721"/>
    <w:rsid w:val="00DC2F08"/>
    <w:rsid w:val="00DF44AE"/>
    <w:rsid w:val="00E27053"/>
    <w:rsid w:val="00E4786B"/>
    <w:rsid w:val="00ED7942"/>
    <w:rsid w:val="00EE23B8"/>
    <w:rsid w:val="00EF7B5E"/>
    <w:rsid w:val="00F01082"/>
    <w:rsid w:val="00F041A8"/>
    <w:rsid w:val="00F2606E"/>
    <w:rsid w:val="00F40F2E"/>
    <w:rsid w:val="00F4221A"/>
    <w:rsid w:val="00F65A70"/>
    <w:rsid w:val="00F85C00"/>
    <w:rsid w:val="00F9036D"/>
    <w:rsid w:val="00F965BE"/>
    <w:rsid w:val="00FC4BDF"/>
    <w:rsid w:val="00FD0D68"/>
    <w:rsid w:val="00FF03BC"/>
    <w:rsid w:val="00FF1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0A7F"/>
    <w:pPr>
      <w:spacing w:after="160" w:line="259" w:lineRule="auto"/>
    </w:pPr>
    <w:rPr>
      <w:rFonts w:eastAsia="Times New Roman"/>
      <w:lang w:eastAsia="en-US"/>
    </w:rPr>
  </w:style>
  <w:style w:type="paragraph" w:styleId="Nagwek1">
    <w:name w:val="heading 1"/>
    <w:basedOn w:val="Normalny"/>
    <w:next w:val="Normalny"/>
    <w:link w:val="Nagwek1Znak"/>
    <w:uiPriority w:val="99"/>
    <w:qFormat/>
    <w:rsid w:val="00800A7F"/>
    <w:pPr>
      <w:keepNext/>
      <w:numPr>
        <w:numId w:val="8"/>
      </w:numPr>
      <w:spacing w:after="0" w:line="240" w:lineRule="auto"/>
      <w:outlineLvl w:val="0"/>
    </w:pPr>
    <w:rPr>
      <w:rFonts w:ascii="Times New Roman" w:hAnsi="Times New Roman"/>
      <w:kern w:val="1"/>
      <w:sz w:val="24"/>
      <w:szCs w:val="20"/>
      <w:lang w:eastAsia="ar-SA"/>
    </w:rPr>
  </w:style>
  <w:style w:type="paragraph" w:styleId="Nagwek2">
    <w:name w:val="heading 2"/>
    <w:basedOn w:val="Normalny"/>
    <w:next w:val="Normalny"/>
    <w:link w:val="Nagwek2Znak"/>
    <w:uiPriority w:val="99"/>
    <w:qFormat/>
    <w:rsid w:val="00800A7F"/>
    <w:pPr>
      <w:keepNext/>
      <w:numPr>
        <w:ilvl w:val="1"/>
        <w:numId w:val="8"/>
      </w:numPr>
      <w:spacing w:after="0" w:line="240" w:lineRule="auto"/>
      <w:outlineLvl w:val="1"/>
    </w:pPr>
    <w:rPr>
      <w:rFonts w:ascii="Times New Roman" w:hAnsi="Times New Roman"/>
      <w:b/>
      <w:kern w:val="1"/>
      <w:sz w:val="24"/>
      <w:szCs w:val="20"/>
      <w:lang w:eastAsia="ar-SA"/>
    </w:rPr>
  </w:style>
  <w:style w:type="paragraph" w:styleId="Nagwek3">
    <w:name w:val="heading 3"/>
    <w:basedOn w:val="Normalny"/>
    <w:next w:val="Normalny"/>
    <w:link w:val="Nagwek3Znak"/>
    <w:uiPriority w:val="99"/>
    <w:qFormat/>
    <w:rsid w:val="00800A7F"/>
    <w:pPr>
      <w:keepNext/>
      <w:numPr>
        <w:ilvl w:val="2"/>
        <w:numId w:val="8"/>
      </w:numPr>
      <w:spacing w:before="240" w:after="60" w:line="240" w:lineRule="auto"/>
      <w:outlineLvl w:val="2"/>
    </w:pPr>
    <w:rPr>
      <w:rFonts w:ascii="Arial" w:hAnsi="Arial" w:cs="Arial"/>
      <w:b/>
      <w:bCs/>
      <w:kern w:val="1"/>
      <w:sz w:val="26"/>
      <w:szCs w:val="26"/>
      <w:lang w:eastAsia="ar-SA"/>
    </w:rPr>
  </w:style>
  <w:style w:type="paragraph" w:styleId="Nagwek4">
    <w:name w:val="heading 4"/>
    <w:basedOn w:val="Normalny"/>
    <w:next w:val="Normalny"/>
    <w:link w:val="Nagwek4Znak"/>
    <w:uiPriority w:val="99"/>
    <w:qFormat/>
    <w:rsid w:val="00800A7F"/>
    <w:pPr>
      <w:keepNext/>
      <w:numPr>
        <w:ilvl w:val="3"/>
        <w:numId w:val="8"/>
      </w:numPr>
      <w:spacing w:before="240" w:after="60" w:line="240" w:lineRule="auto"/>
      <w:outlineLvl w:val="3"/>
    </w:pPr>
    <w:rPr>
      <w:rFonts w:ascii="Times New Roman" w:hAnsi="Times New Roman"/>
      <w:b/>
      <w:bCs/>
      <w:kern w:val="1"/>
      <w:sz w:val="28"/>
      <w:szCs w:val="28"/>
      <w:lang w:eastAsia="ar-SA"/>
    </w:rPr>
  </w:style>
  <w:style w:type="paragraph" w:styleId="Nagwek6">
    <w:name w:val="heading 6"/>
    <w:basedOn w:val="Normalny"/>
    <w:next w:val="Normalny"/>
    <w:link w:val="Nagwek6Znak"/>
    <w:uiPriority w:val="99"/>
    <w:qFormat/>
    <w:rsid w:val="00800A7F"/>
    <w:pPr>
      <w:numPr>
        <w:ilvl w:val="5"/>
        <w:numId w:val="8"/>
      </w:numPr>
      <w:spacing w:before="240" w:after="60" w:line="240" w:lineRule="auto"/>
      <w:outlineLvl w:val="5"/>
    </w:pPr>
    <w:rPr>
      <w:rFonts w:ascii="Times New Roman" w:hAnsi="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0A7F"/>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9"/>
    <w:locked/>
    <w:rsid w:val="00800A7F"/>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9"/>
    <w:locked/>
    <w:rsid w:val="00800A7F"/>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9"/>
    <w:locked/>
    <w:rsid w:val="00800A7F"/>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9"/>
    <w:locked/>
    <w:rsid w:val="00800A7F"/>
    <w:rPr>
      <w:rFonts w:ascii="Times New Roman" w:hAnsi="Times New Roman" w:cs="Times New Roman"/>
      <w:b/>
      <w:bCs/>
      <w:kern w:val="1"/>
      <w:lang w:eastAsia="ar-SA" w:bidi="ar-SA"/>
    </w:rPr>
  </w:style>
  <w:style w:type="table" w:styleId="Tabela-Siatka">
    <w:name w:val="Table Grid"/>
    <w:basedOn w:val="Standardowy"/>
    <w:uiPriority w:val="99"/>
    <w:rsid w:val="00800A7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800A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locked/>
    <w:rsid w:val="00800A7F"/>
    <w:rPr>
      <w:rFonts w:eastAsia="Times New Roman" w:cs="Times New Roman"/>
      <w:sz w:val="20"/>
      <w:szCs w:val="20"/>
    </w:rPr>
  </w:style>
  <w:style w:type="character" w:styleId="Odwoanieprzypisukocowego">
    <w:name w:val="endnote reference"/>
    <w:basedOn w:val="Domylnaczcionkaakapitu"/>
    <w:uiPriority w:val="99"/>
    <w:semiHidden/>
    <w:rsid w:val="00800A7F"/>
    <w:rPr>
      <w:rFonts w:cs="Times New Roman"/>
      <w:vertAlign w:val="superscript"/>
    </w:rPr>
  </w:style>
  <w:style w:type="paragraph" w:styleId="Stopka">
    <w:name w:val="footer"/>
    <w:basedOn w:val="Normalny"/>
    <w:link w:val="StopkaZnak"/>
    <w:uiPriority w:val="99"/>
    <w:rsid w:val="00800A7F"/>
    <w:pPr>
      <w:tabs>
        <w:tab w:val="center" w:pos="4536"/>
        <w:tab w:val="right" w:pos="9072"/>
      </w:tabs>
      <w:spacing w:after="0" w:line="240" w:lineRule="auto"/>
    </w:pPr>
    <w:rPr>
      <w:rFonts w:ascii="Times New Roman" w:hAnsi="Times New Roman"/>
      <w:sz w:val="20"/>
      <w:szCs w:val="20"/>
      <w:lang w:eastAsia="pl-PL"/>
    </w:rPr>
  </w:style>
  <w:style w:type="character" w:customStyle="1" w:styleId="StopkaZnak">
    <w:name w:val="Stopka Znak"/>
    <w:basedOn w:val="Domylnaczcionkaakapitu"/>
    <w:link w:val="Stopka"/>
    <w:uiPriority w:val="99"/>
    <w:locked/>
    <w:rsid w:val="00800A7F"/>
    <w:rPr>
      <w:rFonts w:ascii="Times New Roman" w:hAnsi="Times New Roman" w:cs="Times New Roman"/>
      <w:sz w:val="20"/>
      <w:szCs w:val="20"/>
      <w:lang w:eastAsia="pl-PL"/>
    </w:rPr>
  </w:style>
  <w:style w:type="paragraph" w:customStyle="1" w:styleId="StylPunktWieksze">
    <w:name w:val="Styl Punkt Wieksze"/>
    <w:uiPriority w:val="99"/>
    <w:rsid w:val="00800A7F"/>
    <w:pPr>
      <w:numPr>
        <w:numId w:val="2"/>
      </w:numPr>
      <w:tabs>
        <w:tab w:val="left" w:pos="397"/>
      </w:tabs>
      <w:suppressAutoHyphens/>
      <w:spacing w:line="360" w:lineRule="auto"/>
    </w:pPr>
    <w:rPr>
      <w:rFonts w:ascii="Times New Roman" w:eastAsia="Times New Roman" w:hAnsi="Times New Roman"/>
      <w:sz w:val="24"/>
      <w:szCs w:val="24"/>
      <w:lang w:eastAsia="zh-CN"/>
    </w:rPr>
  </w:style>
  <w:style w:type="paragraph" w:styleId="Akapitzlist">
    <w:name w:val="List Paragraph"/>
    <w:basedOn w:val="Normalny"/>
    <w:uiPriority w:val="99"/>
    <w:qFormat/>
    <w:rsid w:val="00800A7F"/>
    <w:pPr>
      <w:ind w:left="720"/>
      <w:contextualSpacing/>
    </w:pPr>
  </w:style>
  <w:style w:type="paragraph" w:customStyle="1" w:styleId="H-TextFormat">
    <w:name w:val="H-TextFormat"/>
    <w:uiPriority w:val="99"/>
    <w:rsid w:val="00800A7F"/>
    <w:pPr>
      <w:autoSpaceDE w:val="0"/>
      <w:autoSpaceDN w:val="0"/>
      <w:adjustRightInd w:val="0"/>
    </w:pPr>
    <w:rPr>
      <w:rFonts w:ascii="Arial" w:eastAsia="Times New Roman" w:hAnsi="Arial" w:cs="Arial"/>
      <w:lang w:val="en-US" w:eastAsia="en-US"/>
    </w:rPr>
  </w:style>
  <w:style w:type="paragraph" w:customStyle="1" w:styleId="Zawartotabeli">
    <w:name w:val="Zawartość tabeli"/>
    <w:basedOn w:val="Normalny"/>
    <w:uiPriority w:val="99"/>
    <w:rsid w:val="00800A7F"/>
    <w:pPr>
      <w:widowControl w:val="0"/>
      <w:suppressLineNumbers/>
      <w:suppressAutoHyphens/>
      <w:spacing w:after="0" w:line="240" w:lineRule="auto"/>
    </w:pPr>
    <w:rPr>
      <w:rFonts w:ascii="Times New Roman" w:eastAsia="Calibri" w:hAnsi="Times New Roman"/>
      <w:kern w:val="2"/>
      <w:sz w:val="24"/>
      <w:szCs w:val="24"/>
      <w:lang w:eastAsia="ar-SA"/>
    </w:rPr>
  </w:style>
  <w:style w:type="paragraph" w:styleId="Nagwek">
    <w:name w:val="header"/>
    <w:basedOn w:val="Normalny"/>
    <w:link w:val="NagwekZnak"/>
    <w:uiPriority w:val="99"/>
    <w:rsid w:val="00800A7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00A7F"/>
    <w:rPr>
      <w:rFonts w:eastAsia="Times New Roman" w:cs="Times New Roman"/>
    </w:rPr>
  </w:style>
  <w:style w:type="paragraph" w:styleId="Tekstdymka">
    <w:name w:val="Balloon Text"/>
    <w:basedOn w:val="Normalny"/>
    <w:link w:val="TekstdymkaZnak"/>
    <w:uiPriority w:val="99"/>
    <w:semiHidden/>
    <w:rsid w:val="00800A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00A7F"/>
    <w:rPr>
      <w:rFonts w:ascii="Tahoma" w:hAnsi="Tahoma" w:cs="Tahoma"/>
      <w:sz w:val="16"/>
      <w:szCs w:val="16"/>
    </w:rPr>
  </w:style>
  <w:style w:type="paragraph" w:styleId="Poprawka">
    <w:name w:val="Revision"/>
    <w:hidden/>
    <w:uiPriority w:val="99"/>
    <w:semiHidden/>
    <w:rsid w:val="00F85C00"/>
    <w:rPr>
      <w:rFonts w:eastAsia="Times New Roman"/>
      <w:lang w:eastAsia="en-US"/>
    </w:rPr>
  </w:style>
  <w:style w:type="character" w:styleId="Odwoaniedokomentarza">
    <w:name w:val="annotation reference"/>
    <w:basedOn w:val="Domylnaczcionkaakapitu"/>
    <w:uiPriority w:val="99"/>
    <w:semiHidden/>
    <w:rsid w:val="000113DA"/>
    <w:rPr>
      <w:rFonts w:cs="Times New Roman"/>
      <w:sz w:val="16"/>
      <w:szCs w:val="16"/>
    </w:rPr>
  </w:style>
  <w:style w:type="paragraph" w:styleId="Tekstkomentarza">
    <w:name w:val="annotation text"/>
    <w:basedOn w:val="Normalny"/>
    <w:link w:val="TekstkomentarzaZnak"/>
    <w:uiPriority w:val="99"/>
    <w:semiHidden/>
    <w:rsid w:val="000113DA"/>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0113DA"/>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rsid w:val="000113DA"/>
    <w:rPr>
      <w:b/>
      <w:bCs/>
    </w:rPr>
  </w:style>
  <w:style w:type="character" w:customStyle="1" w:styleId="TematkomentarzaZnak">
    <w:name w:val="Temat komentarza Znak"/>
    <w:basedOn w:val="TekstkomentarzaZnak"/>
    <w:link w:val="Tematkomentarza"/>
    <w:uiPriority w:val="99"/>
    <w:semiHidden/>
    <w:locked/>
    <w:rsid w:val="000113DA"/>
    <w:rPr>
      <w:rFonts w:eastAsia="Times New Roman" w:cs="Times New Roman"/>
      <w:b/>
      <w:bCs/>
      <w:sz w:val="20"/>
      <w:szCs w:val="20"/>
    </w:rPr>
  </w:style>
  <w:style w:type="numbering" w:customStyle="1" w:styleId="WW8Num2">
    <w:name w:val="WW8Num2"/>
    <w:rsid w:val="009D043A"/>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0A7F"/>
    <w:pPr>
      <w:spacing w:after="160" w:line="259" w:lineRule="auto"/>
    </w:pPr>
    <w:rPr>
      <w:rFonts w:eastAsia="Times New Roman"/>
      <w:lang w:eastAsia="en-US"/>
    </w:rPr>
  </w:style>
  <w:style w:type="paragraph" w:styleId="Nagwek1">
    <w:name w:val="heading 1"/>
    <w:basedOn w:val="Normalny"/>
    <w:next w:val="Normalny"/>
    <w:link w:val="Nagwek1Znak"/>
    <w:uiPriority w:val="99"/>
    <w:qFormat/>
    <w:rsid w:val="00800A7F"/>
    <w:pPr>
      <w:keepNext/>
      <w:numPr>
        <w:numId w:val="8"/>
      </w:numPr>
      <w:spacing w:after="0" w:line="240" w:lineRule="auto"/>
      <w:outlineLvl w:val="0"/>
    </w:pPr>
    <w:rPr>
      <w:rFonts w:ascii="Times New Roman" w:hAnsi="Times New Roman"/>
      <w:kern w:val="1"/>
      <w:sz w:val="24"/>
      <w:szCs w:val="20"/>
      <w:lang w:eastAsia="ar-SA"/>
    </w:rPr>
  </w:style>
  <w:style w:type="paragraph" w:styleId="Nagwek2">
    <w:name w:val="heading 2"/>
    <w:basedOn w:val="Normalny"/>
    <w:next w:val="Normalny"/>
    <w:link w:val="Nagwek2Znak"/>
    <w:uiPriority w:val="99"/>
    <w:qFormat/>
    <w:rsid w:val="00800A7F"/>
    <w:pPr>
      <w:keepNext/>
      <w:numPr>
        <w:ilvl w:val="1"/>
        <w:numId w:val="8"/>
      </w:numPr>
      <w:spacing w:after="0" w:line="240" w:lineRule="auto"/>
      <w:outlineLvl w:val="1"/>
    </w:pPr>
    <w:rPr>
      <w:rFonts w:ascii="Times New Roman" w:hAnsi="Times New Roman"/>
      <w:b/>
      <w:kern w:val="1"/>
      <w:sz w:val="24"/>
      <w:szCs w:val="20"/>
      <w:lang w:eastAsia="ar-SA"/>
    </w:rPr>
  </w:style>
  <w:style w:type="paragraph" w:styleId="Nagwek3">
    <w:name w:val="heading 3"/>
    <w:basedOn w:val="Normalny"/>
    <w:next w:val="Normalny"/>
    <w:link w:val="Nagwek3Znak"/>
    <w:uiPriority w:val="99"/>
    <w:qFormat/>
    <w:rsid w:val="00800A7F"/>
    <w:pPr>
      <w:keepNext/>
      <w:numPr>
        <w:ilvl w:val="2"/>
        <w:numId w:val="8"/>
      </w:numPr>
      <w:spacing w:before="240" w:after="60" w:line="240" w:lineRule="auto"/>
      <w:outlineLvl w:val="2"/>
    </w:pPr>
    <w:rPr>
      <w:rFonts w:ascii="Arial" w:hAnsi="Arial" w:cs="Arial"/>
      <w:b/>
      <w:bCs/>
      <w:kern w:val="1"/>
      <w:sz w:val="26"/>
      <w:szCs w:val="26"/>
      <w:lang w:eastAsia="ar-SA"/>
    </w:rPr>
  </w:style>
  <w:style w:type="paragraph" w:styleId="Nagwek4">
    <w:name w:val="heading 4"/>
    <w:basedOn w:val="Normalny"/>
    <w:next w:val="Normalny"/>
    <w:link w:val="Nagwek4Znak"/>
    <w:uiPriority w:val="99"/>
    <w:qFormat/>
    <w:rsid w:val="00800A7F"/>
    <w:pPr>
      <w:keepNext/>
      <w:numPr>
        <w:ilvl w:val="3"/>
        <w:numId w:val="8"/>
      </w:numPr>
      <w:spacing w:before="240" w:after="60" w:line="240" w:lineRule="auto"/>
      <w:outlineLvl w:val="3"/>
    </w:pPr>
    <w:rPr>
      <w:rFonts w:ascii="Times New Roman" w:hAnsi="Times New Roman"/>
      <w:b/>
      <w:bCs/>
      <w:kern w:val="1"/>
      <w:sz w:val="28"/>
      <w:szCs w:val="28"/>
      <w:lang w:eastAsia="ar-SA"/>
    </w:rPr>
  </w:style>
  <w:style w:type="paragraph" w:styleId="Nagwek6">
    <w:name w:val="heading 6"/>
    <w:basedOn w:val="Normalny"/>
    <w:next w:val="Normalny"/>
    <w:link w:val="Nagwek6Znak"/>
    <w:uiPriority w:val="99"/>
    <w:qFormat/>
    <w:rsid w:val="00800A7F"/>
    <w:pPr>
      <w:numPr>
        <w:ilvl w:val="5"/>
        <w:numId w:val="8"/>
      </w:numPr>
      <w:spacing w:before="240" w:after="60" w:line="240" w:lineRule="auto"/>
      <w:outlineLvl w:val="5"/>
    </w:pPr>
    <w:rPr>
      <w:rFonts w:ascii="Times New Roman" w:hAnsi="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0A7F"/>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9"/>
    <w:locked/>
    <w:rsid w:val="00800A7F"/>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9"/>
    <w:locked/>
    <w:rsid w:val="00800A7F"/>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9"/>
    <w:locked/>
    <w:rsid w:val="00800A7F"/>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9"/>
    <w:locked/>
    <w:rsid w:val="00800A7F"/>
    <w:rPr>
      <w:rFonts w:ascii="Times New Roman" w:hAnsi="Times New Roman" w:cs="Times New Roman"/>
      <w:b/>
      <w:bCs/>
      <w:kern w:val="1"/>
      <w:lang w:eastAsia="ar-SA" w:bidi="ar-SA"/>
    </w:rPr>
  </w:style>
  <w:style w:type="table" w:styleId="Tabela-Siatka">
    <w:name w:val="Table Grid"/>
    <w:basedOn w:val="Standardowy"/>
    <w:uiPriority w:val="99"/>
    <w:rsid w:val="00800A7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800A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locked/>
    <w:rsid w:val="00800A7F"/>
    <w:rPr>
      <w:rFonts w:eastAsia="Times New Roman" w:cs="Times New Roman"/>
      <w:sz w:val="20"/>
      <w:szCs w:val="20"/>
    </w:rPr>
  </w:style>
  <w:style w:type="character" w:styleId="Odwoanieprzypisukocowego">
    <w:name w:val="endnote reference"/>
    <w:basedOn w:val="Domylnaczcionkaakapitu"/>
    <w:uiPriority w:val="99"/>
    <w:semiHidden/>
    <w:rsid w:val="00800A7F"/>
    <w:rPr>
      <w:rFonts w:cs="Times New Roman"/>
      <w:vertAlign w:val="superscript"/>
    </w:rPr>
  </w:style>
  <w:style w:type="paragraph" w:styleId="Stopka">
    <w:name w:val="footer"/>
    <w:basedOn w:val="Normalny"/>
    <w:link w:val="StopkaZnak"/>
    <w:uiPriority w:val="99"/>
    <w:rsid w:val="00800A7F"/>
    <w:pPr>
      <w:tabs>
        <w:tab w:val="center" w:pos="4536"/>
        <w:tab w:val="right" w:pos="9072"/>
      </w:tabs>
      <w:spacing w:after="0" w:line="240" w:lineRule="auto"/>
    </w:pPr>
    <w:rPr>
      <w:rFonts w:ascii="Times New Roman" w:hAnsi="Times New Roman"/>
      <w:sz w:val="20"/>
      <w:szCs w:val="20"/>
      <w:lang w:eastAsia="pl-PL"/>
    </w:rPr>
  </w:style>
  <w:style w:type="character" w:customStyle="1" w:styleId="StopkaZnak">
    <w:name w:val="Stopka Znak"/>
    <w:basedOn w:val="Domylnaczcionkaakapitu"/>
    <w:link w:val="Stopka"/>
    <w:uiPriority w:val="99"/>
    <w:locked/>
    <w:rsid w:val="00800A7F"/>
    <w:rPr>
      <w:rFonts w:ascii="Times New Roman" w:hAnsi="Times New Roman" w:cs="Times New Roman"/>
      <w:sz w:val="20"/>
      <w:szCs w:val="20"/>
      <w:lang w:eastAsia="pl-PL"/>
    </w:rPr>
  </w:style>
  <w:style w:type="paragraph" w:customStyle="1" w:styleId="StylPunktWieksze">
    <w:name w:val="Styl Punkt Wieksze"/>
    <w:uiPriority w:val="99"/>
    <w:rsid w:val="00800A7F"/>
    <w:pPr>
      <w:numPr>
        <w:numId w:val="2"/>
      </w:numPr>
      <w:tabs>
        <w:tab w:val="left" w:pos="397"/>
      </w:tabs>
      <w:suppressAutoHyphens/>
      <w:spacing w:line="360" w:lineRule="auto"/>
    </w:pPr>
    <w:rPr>
      <w:rFonts w:ascii="Times New Roman" w:eastAsia="Times New Roman" w:hAnsi="Times New Roman"/>
      <w:sz w:val="24"/>
      <w:szCs w:val="24"/>
      <w:lang w:eastAsia="zh-CN"/>
    </w:rPr>
  </w:style>
  <w:style w:type="paragraph" w:styleId="Akapitzlist">
    <w:name w:val="List Paragraph"/>
    <w:basedOn w:val="Normalny"/>
    <w:uiPriority w:val="99"/>
    <w:qFormat/>
    <w:rsid w:val="00800A7F"/>
    <w:pPr>
      <w:ind w:left="720"/>
      <w:contextualSpacing/>
    </w:pPr>
  </w:style>
  <w:style w:type="paragraph" w:customStyle="1" w:styleId="H-TextFormat">
    <w:name w:val="H-TextFormat"/>
    <w:uiPriority w:val="99"/>
    <w:rsid w:val="00800A7F"/>
    <w:pPr>
      <w:autoSpaceDE w:val="0"/>
      <w:autoSpaceDN w:val="0"/>
      <w:adjustRightInd w:val="0"/>
    </w:pPr>
    <w:rPr>
      <w:rFonts w:ascii="Arial" w:eastAsia="Times New Roman" w:hAnsi="Arial" w:cs="Arial"/>
      <w:lang w:val="en-US" w:eastAsia="en-US"/>
    </w:rPr>
  </w:style>
  <w:style w:type="paragraph" w:customStyle="1" w:styleId="Zawartotabeli">
    <w:name w:val="Zawartość tabeli"/>
    <w:basedOn w:val="Normalny"/>
    <w:uiPriority w:val="99"/>
    <w:rsid w:val="00800A7F"/>
    <w:pPr>
      <w:widowControl w:val="0"/>
      <w:suppressLineNumbers/>
      <w:suppressAutoHyphens/>
      <w:spacing w:after="0" w:line="240" w:lineRule="auto"/>
    </w:pPr>
    <w:rPr>
      <w:rFonts w:ascii="Times New Roman" w:eastAsia="Calibri" w:hAnsi="Times New Roman"/>
      <w:kern w:val="2"/>
      <w:sz w:val="24"/>
      <w:szCs w:val="24"/>
      <w:lang w:eastAsia="ar-SA"/>
    </w:rPr>
  </w:style>
  <w:style w:type="paragraph" w:styleId="Nagwek">
    <w:name w:val="header"/>
    <w:basedOn w:val="Normalny"/>
    <w:link w:val="NagwekZnak"/>
    <w:uiPriority w:val="99"/>
    <w:rsid w:val="00800A7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00A7F"/>
    <w:rPr>
      <w:rFonts w:eastAsia="Times New Roman" w:cs="Times New Roman"/>
    </w:rPr>
  </w:style>
  <w:style w:type="paragraph" w:styleId="Tekstdymka">
    <w:name w:val="Balloon Text"/>
    <w:basedOn w:val="Normalny"/>
    <w:link w:val="TekstdymkaZnak"/>
    <w:uiPriority w:val="99"/>
    <w:semiHidden/>
    <w:rsid w:val="00800A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00A7F"/>
    <w:rPr>
      <w:rFonts w:ascii="Tahoma" w:hAnsi="Tahoma" w:cs="Tahoma"/>
      <w:sz w:val="16"/>
      <w:szCs w:val="16"/>
    </w:rPr>
  </w:style>
  <w:style w:type="paragraph" w:styleId="Poprawka">
    <w:name w:val="Revision"/>
    <w:hidden/>
    <w:uiPriority w:val="99"/>
    <w:semiHidden/>
    <w:rsid w:val="00F85C00"/>
    <w:rPr>
      <w:rFonts w:eastAsia="Times New Roman"/>
      <w:lang w:eastAsia="en-US"/>
    </w:rPr>
  </w:style>
  <w:style w:type="character" w:styleId="Odwoaniedokomentarza">
    <w:name w:val="annotation reference"/>
    <w:basedOn w:val="Domylnaczcionkaakapitu"/>
    <w:uiPriority w:val="99"/>
    <w:semiHidden/>
    <w:rsid w:val="000113DA"/>
    <w:rPr>
      <w:rFonts w:cs="Times New Roman"/>
      <w:sz w:val="16"/>
      <w:szCs w:val="16"/>
    </w:rPr>
  </w:style>
  <w:style w:type="paragraph" w:styleId="Tekstkomentarza">
    <w:name w:val="annotation text"/>
    <w:basedOn w:val="Normalny"/>
    <w:link w:val="TekstkomentarzaZnak"/>
    <w:uiPriority w:val="99"/>
    <w:semiHidden/>
    <w:rsid w:val="000113DA"/>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0113DA"/>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rsid w:val="000113DA"/>
    <w:rPr>
      <w:b/>
      <w:bCs/>
    </w:rPr>
  </w:style>
  <w:style w:type="character" w:customStyle="1" w:styleId="TematkomentarzaZnak">
    <w:name w:val="Temat komentarza Znak"/>
    <w:basedOn w:val="TekstkomentarzaZnak"/>
    <w:link w:val="Tematkomentarza"/>
    <w:uiPriority w:val="99"/>
    <w:semiHidden/>
    <w:locked/>
    <w:rsid w:val="000113DA"/>
    <w:rPr>
      <w:rFonts w:eastAsia="Times New Roman" w:cs="Times New Roman"/>
      <w:b/>
      <w:bCs/>
      <w:sz w:val="20"/>
      <w:szCs w:val="20"/>
    </w:rPr>
  </w:style>
  <w:style w:type="numbering" w:customStyle="1" w:styleId="WW8Num2">
    <w:name w:val="WW8Num2"/>
    <w:rsid w:val="009D043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8256</Words>
  <Characters>49540</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2019-01-10T14:14:00Z</dcterms:created>
  <dcterms:modified xsi:type="dcterms:W3CDTF">2019-01-10T14:14:00Z</dcterms:modified>
</cp:coreProperties>
</file>