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247" w:rsidRPr="00487EB6" w:rsidRDefault="00DD66FD" w:rsidP="000D5ED2">
      <w:pPr>
        <w:spacing w:line="288" w:lineRule="auto"/>
        <w:jc w:val="center"/>
        <w:rPr>
          <w:rFonts w:ascii="Garamond" w:hAnsi="Garamond"/>
          <w:b/>
          <w:sz w:val="22"/>
          <w:szCs w:val="22"/>
        </w:rPr>
      </w:pPr>
      <w:r w:rsidRPr="00487EB6">
        <w:rPr>
          <w:rFonts w:ascii="Garamond" w:hAnsi="Garamond"/>
          <w:b/>
          <w:sz w:val="22"/>
          <w:szCs w:val="22"/>
        </w:rPr>
        <w:t>O</w:t>
      </w:r>
      <w:r w:rsidR="00812247" w:rsidRPr="00487EB6">
        <w:rPr>
          <w:rFonts w:ascii="Garamond" w:hAnsi="Garamond"/>
          <w:b/>
          <w:sz w:val="22"/>
          <w:szCs w:val="22"/>
        </w:rPr>
        <w:t>pis przedmiotu zamówienia – pompy infuzyjne</w:t>
      </w:r>
    </w:p>
    <w:p w:rsidR="00812247" w:rsidRPr="00487EB6" w:rsidRDefault="00812247" w:rsidP="000D5ED2">
      <w:pPr>
        <w:spacing w:line="288" w:lineRule="auto"/>
        <w:jc w:val="center"/>
        <w:rPr>
          <w:rFonts w:ascii="Garamond" w:hAnsi="Garamond"/>
          <w:b/>
          <w:sz w:val="22"/>
          <w:szCs w:val="22"/>
        </w:rPr>
      </w:pPr>
    </w:p>
    <w:p w:rsidR="00812247" w:rsidRPr="00487EB6" w:rsidRDefault="00812247" w:rsidP="000D5ED2">
      <w:pPr>
        <w:pStyle w:val="Skrconyadreszwrotny"/>
        <w:spacing w:line="288" w:lineRule="auto"/>
        <w:jc w:val="both"/>
        <w:rPr>
          <w:rFonts w:ascii="Garamond" w:hAnsi="Garamond"/>
          <w:sz w:val="22"/>
          <w:szCs w:val="22"/>
          <w:u w:val="single"/>
        </w:rPr>
      </w:pPr>
      <w:r w:rsidRPr="00487EB6">
        <w:rPr>
          <w:rFonts w:ascii="Garamond" w:hAnsi="Garamond"/>
          <w:sz w:val="22"/>
          <w:szCs w:val="22"/>
          <w:u w:val="single"/>
        </w:rPr>
        <w:t>Uwagi i objaśnienia:</w:t>
      </w:r>
    </w:p>
    <w:p w:rsidR="00812247" w:rsidRPr="00487EB6" w:rsidRDefault="00812247" w:rsidP="007A41E4">
      <w:pPr>
        <w:pStyle w:val="Skrconyadreszwrotny"/>
        <w:widowControl/>
        <w:numPr>
          <w:ilvl w:val="0"/>
          <w:numId w:val="1"/>
        </w:numPr>
        <w:spacing w:line="288" w:lineRule="auto"/>
        <w:ind w:left="0"/>
        <w:jc w:val="both"/>
        <w:rPr>
          <w:rFonts w:ascii="Garamond" w:hAnsi="Garamond"/>
          <w:sz w:val="22"/>
          <w:szCs w:val="22"/>
        </w:rPr>
      </w:pPr>
      <w:r w:rsidRPr="00487EB6">
        <w:rPr>
          <w:rFonts w:ascii="Garamond" w:hAnsi="Garamond"/>
          <w:sz w:val="22"/>
          <w:szCs w:val="22"/>
        </w:rPr>
        <w:t>Parametry określone jako „tak” są parametrami granicznymi. Udzielenie odpowiedzi „nie”  lub innej nie stanowiącej jednoznacznego potwierdzenia spełniania warunku będzie skutkowało odrzuceniem oferty.</w:t>
      </w:r>
    </w:p>
    <w:p w:rsidR="00812247" w:rsidRPr="00487EB6" w:rsidRDefault="00812247" w:rsidP="007A41E4">
      <w:pPr>
        <w:pStyle w:val="Skrconyadreszwrotny"/>
        <w:widowControl/>
        <w:numPr>
          <w:ilvl w:val="0"/>
          <w:numId w:val="1"/>
        </w:numPr>
        <w:spacing w:line="288" w:lineRule="auto"/>
        <w:ind w:left="0"/>
        <w:jc w:val="both"/>
        <w:rPr>
          <w:rFonts w:ascii="Garamond" w:hAnsi="Garamond"/>
          <w:sz w:val="22"/>
          <w:szCs w:val="22"/>
        </w:rPr>
      </w:pPr>
      <w:r w:rsidRPr="00487EB6">
        <w:rPr>
          <w:rFonts w:ascii="Garamond" w:hAnsi="Garamond"/>
          <w:sz w:val="22"/>
          <w:szCs w:val="22"/>
        </w:rPr>
        <w:t>Parametry o określonych warunkach liczbowych ( „&gt;=”  lub „=&lt;” ) są również warunkami granicznymi, których niespełnienie spowoduje odrzucenie oferty. Wartość podana przy w/w znakach oznacza wartość wymaganą.</w:t>
      </w:r>
    </w:p>
    <w:p w:rsidR="00812247" w:rsidRPr="00487EB6" w:rsidRDefault="00812247" w:rsidP="007A41E4">
      <w:pPr>
        <w:pStyle w:val="Skrconyadreszwrotny"/>
        <w:widowControl/>
        <w:numPr>
          <w:ilvl w:val="0"/>
          <w:numId w:val="1"/>
        </w:numPr>
        <w:spacing w:line="288" w:lineRule="auto"/>
        <w:ind w:left="0"/>
        <w:jc w:val="both"/>
        <w:rPr>
          <w:rFonts w:ascii="Garamond" w:hAnsi="Garamond"/>
          <w:sz w:val="22"/>
          <w:szCs w:val="22"/>
        </w:rPr>
      </w:pPr>
      <w:r w:rsidRPr="00487EB6">
        <w:rPr>
          <w:rFonts w:ascii="Garamond" w:hAnsi="Garamond"/>
          <w:sz w:val="22"/>
          <w:szCs w:val="22"/>
        </w:rPr>
        <w:t>Brak odpowiedzi w przypadku pozostałych warunków, punktowany będzie jako 0.</w:t>
      </w:r>
    </w:p>
    <w:p w:rsidR="00812247" w:rsidRPr="00487EB6" w:rsidRDefault="00812247" w:rsidP="007A41E4">
      <w:pPr>
        <w:pStyle w:val="Skrconyadreszwrotny"/>
        <w:widowControl/>
        <w:numPr>
          <w:ilvl w:val="0"/>
          <w:numId w:val="1"/>
        </w:numPr>
        <w:spacing w:line="288" w:lineRule="auto"/>
        <w:ind w:left="0"/>
        <w:jc w:val="both"/>
        <w:rPr>
          <w:rFonts w:ascii="Garamond" w:hAnsi="Garamond"/>
          <w:sz w:val="22"/>
          <w:szCs w:val="22"/>
        </w:rPr>
      </w:pPr>
      <w:r w:rsidRPr="00487EB6">
        <w:rPr>
          <w:rFonts w:ascii="Garamond" w:hAnsi="Garamond"/>
          <w:sz w:val="22"/>
          <w:szCs w:val="22"/>
        </w:rPr>
        <w:t>Wykonawca zobowiązany jest do podania parametrów w jednostkach wskazanych w niniejszym opisie,</w:t>
      </w:r>
    </w:p>
    <w:p w:rsidR="00812247" w:rsidRPr="00487EB6" w:rsidRDefault="00812247" w:rsidP="007A41E4">
      <w:pPr>
        <w:pStyle w:val="Skrconyadreszwrotny"/>
        <w:widowControl/>
        <w:numPr>
          <w:ilvl w:val="0"/>
          <w:numId w:val="1"/>
        </w:numPr>
        <w:spacing w:line="288" w:lineRule="auto"/>
        <w:ind w:left="0"/>
        <w:jc w:val="both"/>
        <w:rPr>
          <w:rFonts w:ascii="Garamond" w:hAnsi="Garamond"/>
          <w:sz w:val="22"/>
          <w:szCs w:val="22"/>
        </w:rPr>
      </w:pPr>
      <w:r w:rsidRPr="00487EB6">
        <w:rPr>
          <w:rFonts w:ascii="Garamond" w:hAnsi="Garamond"/>
          <w:sz w:val="22"/>
          <w:szCs w:val="22"/>
        </w:rPr>
        <w:t xml:space="preserve">Wykonawca gwarantuje niniejszym, że sprzęt jest fabrycznie nowy (rok produkcji min. 2018) nie jest </w:t>
      </w:r>
      <w:proofErr w:type="spellStart"/>
      <w:r w:rsidRPr="00487EB6">
        <w:rPr>
          <w:rFonts w:ascii="Garamond" w:hAnsi="Garamond"/>
          <w:sz w:val="22"/>
          <w:szCs w:val="22"/>
        </w:rPr>
        <w:t>rekondycjonowany</w:t>
      </w:r>
      <w:proofErr w:type="spellEnd"/>
      <w:r w:rsidRPr="00487EB6">
        <w:rPr>
          <w:rFonts w:ascii="Garamond" w:hAnsi="Garamond"/>
          <w:sz w:val="22"/>
          <w:szCs w:val="22"/>
        </w:rPr>
        <w:t>, używany, powystawowy,  jest kompletny i do jego uruchomienia oraz stosowania zgodnie z przeznaczeniem nie jest konieczny zakup dodatkowych elementów i akcesoriów.</w:t>
      </w:r>
    </w:p>
    <w:p w:rsidR="00812247" w:rsidRPr="00487EB6" w:rsidRDefault="00812247" w:rsidP="007A41E4">
      <w:pPr>
        <w:pStyle w:val="Skrconyadreszwrotny"/>
        <w:widowControl/>
        <w:numPr>
          <w:ilvl w:val="0"/>
          <w:numId w:val="1"/>
        </w:numPr>
        <w:spacing w:line="288" w:lineRule="auto"/>
        <w:ind w:left="0" w:hanging="357"/>
        <w:jc w:val="both"/>
        <w:rPr>
          <w:rFonts w:ascii="Garamond" w:eastAsia="Times New Roman" w:hAnsi="Garamond"/>
          <w:kern w:val="2"/>
          <w:sz w:val="22"/>
          <w:szCs w:val="22"/>
        </w:rPr>
      </w:pPr>
      <w:r w:rsidRPr="00487EB6">
        <w:rPr>
          <w:rFonts w:ascii="Garamond" w:hAnsi="Garamond"/>
          <w:sz w:val="22"/>
          <w:szCs w:val="22"/>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812247" w:rsidRPr="00487EB6" w:rsidRDefault="00812247" w:rsidP="007A41E4">
      <w:pPr>
        <w:pStyle w:val="Skrconyadreszwrotny"/>
        <w:widowControl/>
        <w:numPr>
          <w:ilvl w:val="0"/>
          <w:numId w:val="1"/>
        </w:numPr>
        <w:spacing w:line="288" w:lineRule="auto"/>
        <w:ind w:left="0" w:hanging="357"/>
        <w:jc w:val="both"/>
        <w:rPr>
          <w:rFonts w:ascii="Garamond" w:hAnsi="Garamond"/>
          <w:sz w:val="22"/>
          <w:szCs w:val="22"/>
        </w:rPr>
      </w:pPr>
      <w:r w:rsidRPr="00487EB6">
        <w:rPr>
          <w:rFonts w:ascii="Garamond" w:hAnsi="Garamond"/>
          <w:sz w:val="22"/>
          <w:szCs w:val="22"/>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812247" w:rsidRPr="00487EB6" w:rsidRDefault="00812247" w:rsidP="000D5ED2">
      <w:pPr>
        <w:spacing w:line="288" w:lineRule="auto"/>
        <w:rPr>
          <w:rFonts w:ascii="Garamond" w:hAnsi="Garamond"/>
          <w:sz w:val="22"/>
          <w:szCs w:val="22"/>
        </w:rPr>
      </w:pPr>
    </w:p>
    <w:p w:rsidR="00812247" w:rsidRPr="00487EB6" w:rsidRDefault="00812247" w:rsidP="000D5ED2">
      <w:pPr>
        <w:spacing w:line="288" w:lineRule="auto"/>
        <w:rPr>
          <w:rFonts w:ascii="Garamond" w:hAnsi="Garamond"/>
          <w:sz w:val="22"/>
          <w:szCs w:val="22"/>
        </w:rPr>
      </w:pPr>
    </w:p>
    <w:p w:rsidR="002D426B" w:rsidRPr="00487EB6" w:rsidRDefault="002D426B" w:rsidP="000D5ED2">
      <w:pPr>
        <w:spacing w:line="288" w:lineRule="auto"/>
        <w:rPr>
          <w:rFonts w:ascii="Garamond" w:hAnsi="Garamond"/>
          <w:b/>
          <w:sz w:val="22"/>
          <w:szCs w:val="22"/>
        </w:rPr>
      </w:pPr>
    </w:p>
    <w:p w:rsidR="002D426B" w:rsidRPr="00487EB6" w:rsidRDefault="002D426B" w:rsidP="000D5ED2">
      <w:pPr>
        <w:spacing w:line="288" w:lineRule="auto"/>
        <w:rPr>
          <w:rFonts w:ascii="Garamond" w:hAnsi="Garamond"/>
          <w:b/>
          <w:sz w:val="22"/>
          <w:szCs w:val="22"/>
        </w:rPr>
      </w:pPr>
    </w:p>
    <w:p w:rsidR="006042E4" w:rsidRPr="00487EB6" w:rsidRDefault="006042E4" w:rsidP="000D5ED2">
      <w:pPr>
        <w:spacing w:line="288" w:lineRule="auto"/>
        <w:rPr>
          <w:rFonts w:ascii="Garamond" w:hAnsi="Garamond"/>
          <w:b/>
          <w:sz w:val="22"/>
          <w:szCs w:val="22"/>
        </w:rPr>
      </w:pPr>
    </w:p>
    <w:p w:rsidR="006042E4" w:rsidRPr="00487EB6" w:rsidRDefault="006042E4" w:rsidP="000D5ED2">
      <w:pPr>
        <w:spacing w:line="288" w:lineRule="auto"/>
        <w:rPr>
          <w:rFonts w:ascii="Garamond" w:hAnsi="Garamond"/>
          <w:b/>
          <w:sz w:val="22"/>
          <w:szCs w:val="22"/>
        </w:rPr>
      </w:pPr>
    </w:p>
    <w:p w:rsidR="002D426B" w:rsidRPr="00487EB6" w:rsidRDefault="002D426B" w:rsidP="000D5ED2">
      <w:pPr>
        <w:spacing w:line="288" w:lineRule="auto"/>
        <w:rPr>
          <w:rFonts w:ascii="Garamond" w:hAnsi="Garamond"/>
          <w:b/>
          <w:sz w:val="22"/>
          <w:szCs w:val="22"/>
        </w:rPr>
      </w:pPr>
    </w:p>
    <w:tbl>
      <w:tblPr>
        <w:tblW w:w="15315" w:type="dxa"/>
        <w:tblInd w:w="70" w:type="dxa"/>
        <w:tblCellMar>
          <w:left w:w="70" w:type="dxa"/>
          <w:right w:w="70" w:type="dxa"/>
        </w:tblCellMar>
        <w:tblLook w:val="04A0" w:firstRow="1" w:lastRow="0" w:firstColumn="1" w:lastColumn="0" w:noHBand="0" w:noVBand="1"/>
      </w:tblPr>
      <w:tblGrid>
        <w:gridCol w:w="417"/>
        <w:gridCol w:w="5611"/>
        <w:gridCol w:w="1333"/>
        <w:gridCol w:w="864"/>
        <w:gridCol w:w="164"/>
        <w:gridCol w:w="2425"/>
        <w:gridCol w:w="4501"/>
      </w:tblGrid>
      <w:tr w:rsidR="005818D4" w:rsidRPr="00487EB6" w:rsidTr="007D6C75">
        <w:trPr>
          <w:trHeight w:val="705"/>
        </w:trPr>
        <w:tc>
          <w:tcPr>
            <w:tcW w:w="417" w:type="dxa"/>
            <w:tcBorders>
              <w:top w:val="single" w:sz="4" w:space="0" w:color="auto"/>
              <w:left w:val="single" w:sz="4" w:space="0" w:color="auto"/>
              <w:bottom w:val="single" w:sz="4" w:space="0" w:color="auto"/>
              <w:right w:val="single" w:sz="4" w:space="0" w:color="auto"/>
            </w:tcBorders>
            <w:vAlign w:val="center"/>
          </w:tcPr>
          <w:p w:rsidR="005818D4" w:rsidRPr="00487EB6" w:rsidRDefault="005818D4" w:rsidP="006506B1">
            <w:pPr>
              <w:rPr>
                <w:rFonts w:ascii="Garamond" w:hAnsi="Garamond" w:cs="Calibri"/>
                <w:sz w:val="22"/>
                <w:szCs w:val="22"/>
              </w:rPr>
            </w:pPr>
            <w:r w:rsidRPr="00487EB6">
              <w:rPr>
                <w:rFonts w:ascii="Garamond" w:hAnsi="Garamond" w:cs="Calibri"/>
                <w:sz w:val="22"/>
                <w:szCs w:val="22"/>
              </w:rPr>
              <w:lastRenderedPageBreak/>
              <w:t>Lp.</w:t>
            </w:r>
          </w:p>
        </w:tc>
        <w:tc>
          <w:tcPr>
            <w:tcW w:w="5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8D4" w:rsidRPr="00487EB6" w:rsidRDefault="005818D4" w:rsidP="006506B1">
            <w:pPr>
              <w:rPr>
                <w:rFonts w:ascii="Garamond" w:hAnsi="Garamond" w:cs="Calibri"/>
                <w:sz w:val="22"/>
                <w:szCs w:val="22"/>
              </w:rPr>
            </w:pPr>
            <w:r w:rsidRPr="00487EB6">
              <w:rPr>
                <w:rFonts w:ascii="Garamond" w:hAnsi="Garamond" w:cs="Calibri"/>
                <w:sz w:val="22"/>
                <w:szCs w:val="22"/>
              </w:rPr>
              <w:t>Przedmiot</w:t>
            </w:r>
          </w:p>
        </w:tc>
        <w:tc>
          <w:tcPr>
            <w:tcW w:w="1333" w:type="dxa"/>
            <w:tcBorders>
              <w:top w:val="single" w:sz="4" w:space="0" w:color="auto"/>
              <w:left w:val="nil"/>
              <w:bottom w:val="single" w:sz="4" w:space="0" w:color="auto"/>
              <w:right w:val="single" w:sz="4" w:space="0" w:color="auto"/>
            </w:tcBorders>
          </w:tcPr>
          <w:p w:rsidR="005818D4" w:rsidRPr="00487EB6" w:rsidRDefault="005818D4" w:rsidP="006506B1">
            <w:pPr>
              <w:jc w:val="center"/>
              <w:rPr>
                <w:rFonts w:ascii="Garamond" w:hAnsi="Garamond" w:cs="Calibri"/>
                <w:sz w:val="22"/>
                <w:szCs w:val="22"/>
              </w:rPr>
            </w:pPr>
            <w:r w:rsidRPr="00487EB6">
              <w:rPr>
                <w:rFonts w:ascii="Garamond" w:hAnsi="Garamond" w:cs="Calibri"/>
                <w:sz w:val="22"/>
                <w:szCs w:val="22"/>
              </w:rPr>
              <w:t>Proponowany model/ producent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8D4" w:rsidRPr="00487EB6" w:rsidRDefault="005818D4" w:rsidP="006506B1">
            <w:pPr>
              <w:jc w:val="center"/>
              <w:rPr>
                <w:rFonts w:ascii="Garamond" w:hAnsi="Garamond" w:cs="Calibri"/>
                <w:sz w:val="22"/>
                <w:szCs w:val="22"/>
              </w:rPr>
            </w:pPr>
            <w:r w:rsidRPr="00487EB6">
              <w:rPr>
                <w:rFonts w:ascii="Garamond" w:hAnsi="Garamond" w:cs="Calibri"/>
                <w:sz w:val="22"/>
                <w:szCs w:val="22"/>
              </w:rPr>
              <w:t>Liczba sztuk</w:t>
            </w:r>
          </w:p>
        </w:tc>
        <w:tc>
          <w:tcPr>
            <w:tcW w:w="2589" w:type="dxa"/>
            <w:gridSpan w:val="2"/>
            <w:tcBorders>
              <w:top w:val="single" w:sz="4" w:space="0" w:color="auto"/>
              <w:left w:val="nil"/>
              <w:bottom w:val="single" w:sz="4" w:space="0" w:color="auto"/>
              <w:right w:val="single" w:sz="4" w:space="0" w:color="auto"/>
            </w:tcBorders>
            <w:shd w:val="clear" w:color="auto" w:fill="auto"/>
            <w:vAlign w:val="center"/>
            <w:hideMark/>
          </w:tcPr>
          <w:p w:rsidR="005818D4" w:rsidRPr="00487EB6" w:rsidRDefault="005818D4" w:rsidP="006506B1">
            <w:pPr>
              <w:jc w:val="center"/>
              <w:rPr>
                <w:rFonts w:ascii="Garamond" w:hAnsi="Garamond" w:cs="Calibri"/>
                <w:sz w:val="22"/>
                <w:szCs w:val="22"/>
              </w:rPr>
            </w:pPr>
            <w:r w:rsidRPr="00487EB6">
              <w:rPr>
                <w:rFonts w:ascii="Garamond" w:hAnsi="Garamond" w:cs="Calibri"/>
                <w:sz w:val="22"/>
                <w:szCs w:val="22"/>
              </w:rPr>
              <w:t>Cena jednostkowa brutto sprzętu</w:t>
            </w:r>
            <w:r w:rsidR="00487EB6" w:rsidRPr="00487EB6">
              <w:rPr>
                <w:rFonts w:ascii="Garamond" w:hAnsi="Garamond" w:cs="Calibri"/>
                <w:sz w:val="22"/>
                <w:szCs w:val="22"/>
              </w:rPr>
              <w:t xml:space="preserve"> wraz z dostawą</w:t>
            </w:r>
            <w:r w:rsidRPr="00487EB6">
              <w:rPr>
                <w:rFonts w:ascii="Garamond" w:hAnsi="Garamond" w:cs="Calibri"/>
                <w:sz w:val="22"/>
                <w:szCs w:val="22"/>
              </w:rPr>
              <w:t xml:space="preserve"> (w zł)</w:t>
            </w:r>
          </w:p>
        </w:tc>
        <w:tc>
          <w:tcPr>
            <w:tcW w:w="4501" w:type="dxa"/>
            <w:tcBorders>
              <w:top w:val="single" w:sz="4" w:space="0" w:color="auto"/>
              <w:left w:val="nil"/>
              <w:bottom w:val="single" w:sz="4" w:space="0" w:color="auto"/>
              <w:right w:val="single" w:sz="4" w:space="0" w:color="auto"/>
            </w:tcBorders>
            <w:shd w:val="clear" w:color="auto" w:fill="auto"/>
            <w:vAlign w:val="center"/>
            <w:hideMark/>
          </w:tcPr>
          <w:p w:rsidR="005818D4" w:rsidRPr="00487EB6" w:rsidRDefault="005818D4" w:rsidP="006506B1">
            <w:pPr>
              <w:jc w:val="center"/>
              <w:rPr>
                <w:rFonts w:ascii="Garamond" w:hAnsi="Garamond" w:cs="Calibri"/>
                <w:sz w:val="22"/>
                <w:szCs w:val="22"/>
              </w:rPr>
            </w:pPr>
            <w:r w:rsidRPr="00487EB6">
              <w:rPr>
                <w:rFonts w:ascii="Garamond" w:hAnsi="Garamond" w:cs="Calibri"/>
                <w:sz w:val="22"/>
                <w:szCs w:val="22"/>
              </w:rPr>
              <w:t xml:space="preserve">Cena brutto sprzętu </w:t>
            </w:r>
            <w:r w:rsidR="00487EB6" w:rsidRPr="00487EB6">
              <w:rPr>
                <w:rFonts w:ascii="Garamond" w:hAnsi="Garamond" w:cs="Calibri"/>
                <w:sz w:val="22"/>
                <w:szCs w:val="22"/>
              </w:rPr>
              <w:t xml:space="preserve">wraz z dostawą </w:t>
            </w:r>
            <w:r w:rsidRPr="00487EB6">
              <w:rPr>
                <w:rFonts w:ascii="Garamond" w:hAnsi="Garamond" w:cs="Calibri"/>
                <w:sz w:val="22"/>
                <w:szCs w:val="22"/>
              </w:rPr>
              <w:t>w pozycjach (w zł)</w:t>
            </w:r>
          </w:p>
        </w:tc>
      </w:tr>
      <w:tr w:rsidR="005818D4" w:rsidRPr="00487EB6" w:rsidTr="007D6C75">
        <w:trPr>
          <w:trHeight w:val="624"/>
        </w:trPr>
        <w:tc>
          <w:tcPr>
            <w:tcW w:w="15315" w:type="dxa"/>
            <w:gridSpan w:val="7"/>
            <w:tcBorders>
              <w:top w:val="nil"/>
              <w:left w:val="single" w:sz="4" w:space="0" w:color="auto"/>
              <w:bottom w:val="single" w:sz="4" w:space="0" w:color="auto"/>
              <w:right w:val="single" w:sz="4" w:space="0" w:color="auto"/>
            </w:tcBorders>
          </w:tcPr>
          <w:p w:rsidR="005818D4" w:rsidRPr="00487EB6" w:rsidRDefault="005818D4" w:rsidP="006506B1">
            <w:pPr>
              <w:rPr>
                <w:rFonts w:ascii="Garamond" w:hAnsi="Garamond" w:cs="Calibri"/>
                <w:sz w:val="22"/>
                <w:szCs w:val="22"/>
              </w:rPr>
            </w:pPr>
            <w:r w:rsidRPr="00487EB6">
              <w:rPr>
                <w:rFonts w:ascii="Garamond" w:hAnsi="Garamond"/>
                <w:b/>
                <w:sz w:val="22"/>
                <w:szCs w:val="22"/>
              </w:rPr>
              <w:t>System pomp infuzyjnych przeznaczonych na OIOM NSSU:</w:t>
            </w:r>
          </w:p>
        </w:tc>
      </w:tr>
      <w:tr w:rsidR="005818D4" w:rsidRPr="00487EB6" w:rsidTr="007D6C75">
        <w:trPr>
          <w:trHeight w:hRule="exact" w:val="567"/>
        </w:trPr>
        <w:tc>
          <w:tcPr>
            <w:tcW w:w="417" w:type="dxa"/>
            <w:tcBorders>
              <w:top w:val="nil"/>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t>1.</w:t>
            </w:r>
          </w:p>
        </w:tc>
        <w:tc>
          <w:tcPr>
            <w:tcW w:w="5611"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 xml:space="preserve">Pompy </w:t>
            </w:r>
            <w:proofErr w:type="spellStart"/>
            <w:r w:rsidRPr="00487EB6">
              <w:rPr>
                <w:rFonts w:ascii="Garamond" w:hAnsi="Garamond"/>
                <w:sz w:val="22"/>
                <w:szCs w:val="22"/>
              </w:rPr>
              <w:t>strzykawkowe</w:t>
            </w:r>
            <w:proofErr w:type="spellEnd"/>
            <w:r w:rsidRPr="00487EB6">
              <w:rPr>
                <w:rFonts w:ascii="Garamond" w:hAnsi="Garamond"/>
                <w:sz w:val="22"/>
                <w:szCs w:val="22"/>
              </w:rPr>
              <w:t xml:space="preserve"> (biblioteka leków)</w:t>
            </w:r>
          </w:p>
        </w:tc>
        <w:tc>
          <w:tcPr>
            <w:tcW w:w="1333" w:type="dxa"/>
            <w:tcBorders>
              <w:top w:val="nil"/>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574</w:t>
            </w:r>
          </w:p>
        </w:tc>
        <w:tc>
          <w:tcPr>
            <w:tcW w:w="2589" w:type="dxa"/>
            <w:gridSpan w:val="2"/>
            <w:tcBorders>
              <w:top w:val="nil"/>
              <w:left w:val="nil"/>
              <w:bottom w:val="single" w:sz="4" w:space="0" w:color="auto"/>
              <w:right w:val="single" w:sz="4" w:space="0" w:color="auto"/>
            </w:tcBorders>
            <w:shd w:val="clear" w:color="auto" w:fill="auto"/>
            <w:vAlign w:val="center"/>
            <w:hideMark/>
          </w:tcPr>
          <w:p w:rsidR="005818D4" w:rsidRPr="00487EB6" w:rsidRDefault="005818D4" w:rsidP="005818D4">
            <w:pPr>
              <w:jc w:val="center"/>
              <w:rPr>
                <w:rFonts w:ascii="Garamond" w:hAnsi="Garamond" w:cs="Calibri"/>
                <w:sz w:val="22"/>
                <w:szCs w:val="22"/>
              </w:rPr>
            </w:pPr>
          </w:p>
        </w:tc>
        <w:tc>
          <w:tcPr>
            <w:tcW w:w="4501" w:type="dxa"/>
            <w:tcBorders>
              <w:top w:val="nil"/>
              <w:left w:val="nil"/>
              <w:bottom w:val="single" w:sz="4" w:space="0" w:color="auto"/>
              <w:right w:val="single" w:sz="4" w:space="0" w:color="auto"/>
            </w:tcBorders>
            <w:shd w:val="clear" w:color="auto" w:fill="auto"/>
            <w:vAlign w:val="center"/>
            <w:hideMark/>
          </w:tcPr>
          <w:p w:rsidR="005818D4" w:rsidRPr="00487EB6" w:rsidRDefault="005818D4" w:rsidP="005818D4">
            <w:pPr>
              <w:jc w:val="center"/>
              <w:rPr>
                <w:rFonts w:ascii="Garamond" w:hAnsi="Garamond" w:cs="Calibri"/>
                <w:sz w:val="22"/>
                <w:szCs w:val="22"/>
              </w:rPr>
            </w:pPr>
          </w:p>
        </w:tc>
      </w:tr>
      <w:tr w:rsidR="005818D4" w:rsidRPr="00487EB6" w:rsidTr="007D6C75">
        <w:trPr>
          <w:trHeight w:hRule="exact" w:val="567"/>
        </w:trPr>
        <w:tc>
          <w:tcPr>
            <w:tcW w:w="417" w:type="dxa"/>
            <w:tcBorders>
              <w:top w:val="nil"/>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t>2.</w:t>
            </w:r>
          </w:p>
        </w:tc>
        <w:tc>
          <w:tcPr>
            <w:tcW w:w="5611"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 xml:space="preserve">Pompy </w:t>
            </w:r>
            <w:proofErr w:type="spellStart"/>
            <w:r w:rsidRPr="00487EB6">
              <w:rPr>
                <w:rFonts w:ascii="Garamond" w:hAnsi="Garamond"/>
                <w:sz w:val="22"/>
                <w:szCs w:val="22"/>
              </w:rPr>
              <w:t>strzykawkowe</w:t>
            </w:r>
            <w:proofErr w:type="spellEnd"/>
            <w:r w:rsidRPr="00487EB6">
              <w:rPr>
                <w:rFonts w:ascii="Garamond" w:hAnsi="Garamond"/>
                <w:sz w:val="22"/>
                <w:szCs w:val="22"/>
              </w:rPr>
              <w:t xml:space="preserve"> (biblioteka leków, pomiar w linii)</w:t>
            </w:r>
          </w:p>
        </w:tc>
        <w:tc>
          <w:tcPr>
            <w:tcW w:w="1333" w:type="dxa"/>
            <w:tcBorders>
              <w:top w:val="nil"/>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65</w:t>
            </w:r>
          </w:p>
        </w:tc>
        <w:tc>
          <w:tcPr>
            <w:tcW w:w="2589" w:type="dxa"/>
            <w:gridSpan w:val="2"/>
            <w:tcBorders>
              <w:top w:val="single" w:sz="4" w:space="0" w:color="auto"/>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bCs/>
                <w:sz w:val="22"/>
                <w:szCs w:val="22"/>
              </w:rPr>
            </w:pPr>
          </w:p>
        </w:tc>
        <w:tc>
          <w:tcPr>
            <w:tcW w:w="4501" w:type="dxa"/>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sz w:val="22"/>
                <w:szCs w:val="22"/>
              </w:rPr>
            </w:pPr>
          </w:p>
        </w:tc>
      </w:tr>
      <w:tr w:rsidR="005818D4" w:rsidRPr="00487EB6" w:rsidTr="007D6C75">
        <w:trPr>
          <w:trHeight w:hRule="exact" w:val="567"/>
        </w:trPr>
        <w:tc>
          <w:tcPr>
            <w:tcW w:w="417" w:type="dxa"/>
            <w:tcBorders>
              <w:top w:val="nil"/>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t>3.</w:t>
            </w:r>
          </w:p>
        </w:tc>
        <w:tc>
          <w:tcPr>
            <w:tcW w:w="5611"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Pompy objętościowe (biblioteka leków)</w:t>
            </w:r>
          </w:p>
        </w:tc>
        <w:tc>
          <w:tcPr>
            <w:tcW w:w="1333" w:type="dxa"/>
            <w:tcBorders>
              <w:top w:val="nil"/>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261</w:t>
            </w:r>
          </w:p>
        </w:tc>
        <w:tc>
          <w:tcPr>
            <w:tcW w:w="2589" w:type="dxa"/>
            <w:gridSpan w:val="2"/>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bCs/>
                <w:sz w:val="22"/>
                <w:szCs w:val="22"/>
              </w:rPr>
            </w:pPr>
          </w:p>
        </w:tc>
        <w:tc>
          <w:tcPr>
            <w:tcW w:w="4501" w:type="dxa"/>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sz w:val="22"/>
                <w:szCs w:val="22"/>
              </w:rPr>
            </w:pPr>
          </w:p>
        </w:tc>
      </w:tr>
      <w:tr w:rsidR="005818D4" w:rsidRPr="00487EB6" w:rsidTr="007D6C75">
        <w:trPr>
          <w:trHeight w:hRule="exact" w:val="567"/>
        </w:trPr>
        <w:tc>
          <w:tcPr>
            <w:tcW w:w="417" w:type="dxa"/>
            <w:tcBorders>
              <w:top w:val="nil"/>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t>4.</w:t>
            </w:r>
          </w:p>
        </w:tc>
        <w:tc>
          <w:tcPr>
            <w:tcW w:w="5611" w:type="dxa"/>
            <w:tcBorders>
              <w:top w:val="single" w:sz="4" w:space="0" w:color="auto"/>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Stacja dokująca 4 COM</w:t>
            </w:r>
          </w:p>
        </w:tc>
        <w:tc>
          <w:tcPr>
            <w:tcW w:w="1333" w:type="dxa"/>
            <w:tcBorders>
              <w:top w:val="nil"/>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155</w:t>
            </w:r>
          </w:p>
        </w:tc>
        <w:tc>
          <w:tcPr>
            <w:tcW w:w="2589" w:type="dxa"/>
            <w:gridSpan w:val="2"/>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bCs/>
                <w:sz w:val="22"/>
                <w:szCs w:val="22"/>
              </w:rPr>
            </w:pPr>
          </w:p>
        </w:tc>
        <w:tc>
          <w:tcPr>
            <w:tcW w:w="4501" w:type="dxa"/>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sz w:val="22"/>
                <w:szCs w:val="22"/>
              </w:rPr>
            </w:pPr>
          </w:p>
        </w:tc>
      </w:tr>
      <w:tr w:rsidR="005818D4" w:rsidRPr="00487EB6" w:rsidTr="007D6C75">
        <w:trPr>
          <w:trHeight w:hRule="exact" w:val="567"/>
        </w:trPr>
        <w:tc>
          <w:tcPr>
            <w:tcW w:w="417" w:type="dxa"/>
            <w:tcBorders>
              <w:top w:val="nil"/>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t>5.</w:t>
            </w:r>
          </w:p>
        </w:tc>
        <w:tc>
          <w:tcPr>
            <w:tcW w:w="5611"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Stacja dokująca 6 lub 8 COM</w:t>
            </w:r>
          </w:p>
        </w:tc>
        <w:tc>
          <w:tcPr>
            <w:tcW w:w="1333" w:type="dxa"/>
            <w:tcBorders>
              <w:top w:val="nil"/>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56</w:t>
            </w:r>
          </w:p>
        </w:tc>
        <w:tc>
          <w:tcPr>
            <w:tcW w:w="2589" w:type="dxa"/>
            <w:gridSpan w:val="2"/>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bCs/>
                <w:sz w:val="22"/>
                <w:szCs w:val="22"/>
              </w:rPr>
            </w:pPr>
          </w:p>
        </w:tc>
        <w:tc>
          <w:tcPr>
            <w:tcW w:w="4501" w:type="dxa"/>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sz w:val="22"/>
                <w:szCs w:val="22"/>
              </w:rPr>
            </w:pPr>
          </w:p>
        </w:tc>
      </w:tr>
      <w:tr w:rsidR="005818D4" w:rsidRPr="00487EB6" w:rsidTr="007D6C75">
        <w:trPr>
          <w:trHeight w:hRule="exact" w:val="567"/>
        </w:trPr>
        <w:tc>
          <w:tcPr>
            <w:tcW w:w="417" w:type="dxa"/>
            <w:tcBorders>
              <w:top w:val="nil"/>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t>6.</w:t>
            </w:r>
          </w:p>
        </w:tc>
        <w:tc>
          <w:tcPr>
            <w:tcW w:w="5611"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Oprogramowanie do zarządzania infuzją</w:t>
            </w:r>
          </w:p>
        </w:tc>
        <w:tc>
          <w:tcPr>
            <w:tcW w:w="1333" w:type="dxa"/>
            <w:tcBorders>
              <w:top w:val="nil"/>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1</w:t>
            </w:r>
          </w:p>
        </w:tc>
        <w:tc>
          <w:tcPr>
            <w:tcW w:w="2589" w:type="dxa"/>
            <w:gridSpan w:val="2"/>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bCs/>
                <w:sz w:val="22"/>
                <w:szCs w:val="22"/>
              </w:rPr>
            </w:pPr>
          </w:p>
        </w:tc>
        <w:tc>
          <w:tcPr>
            <w:tcW w:w="4501" w:type="dxa"/>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sz w:val="22"/>
                <w:szCs w:val="22"/>
              </w:rPr>
            </w:pPr>
          </w:p>
        </w:tc>
      </w:tr>
      <w:tr w:rsidR="005818D4" w:rsidRPr="00487EB6" w:rsidTr="007D6C75">
        <w:trPr>
          <w:trHeight w:hRule="exact" w:val="567"/>
        </w:trPr>
        <w:tc>
          <w:tcPr>
            <w:tcW w:w="417" w:type="dxa"/>
            <w:tcBorders>
              <w:top w:val="nil"/>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t>7.</w:t>
            </w:r>
          </w:p>
        </w:tc>
        <w:tc>
          <w:tcPr>
            <w:tcW w:w="5611"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 xml:space="preserve">Tester do pomp </w:t>
            </w:r>
          </w:p>
        </w:tc>
        <w:tc>
          <w:tcPr>
            <w:tcW w:w="1333" w:type="dxa"/>
            <w:tcBorders>
              <w:top w:val="nil"/>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1</w:t>
            </w:r>
          </w:p>
        </w:tc>
        <w:tc>
          <w:tcPr>
            <w:tcW w:w="2589" w:type="dxa"/>
            <w:gridSpan w:val="2"/>
            <w:tcBorders>
              <w:top w:val="single" w:sz="4" w:space="0" w:color="auto"/>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bCs/>
                <w:sz w:val="22"/>
                <w:szCs w:val="22"/>
              </w:rPr>
            </w:pPr>
          </w:p>
        </w:tc>
        <w:tc>
          <w:tcPr>
            <w:tcW w:w="4501" w:type="dxa"/>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sz w:val="22"/>
                <w:szCs w:val="22"/>
              </w:rPr>
            </w:pPr>
          </w:p>
        </w:tc>
      </w:tr>
      <w:tr w:rsidR="005818D4" w:rsidRPr="00487EB6" w:rsidTr="007D6C75">
        <w:trPr>
          <w:trHeight w:hRule="exact" w:val="567"/>
        </w:trPr>
        <w:tc>
          <w:tcPr>
            <w:tcW w:w="417" w:type="dxa"/>
            <w:tcBorders>
              <w:top w:val="nil"/>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t>8.</w:t>
            </w:r>
          </w:p>
        </w:tc>
        <w:tc>
          <w:tcPr>
            <w:tcW w:w="5611"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Tester bezpieczeństwa elektrycznego</w:t>
            </w:r>
          </w:p>
        </w:tc>
        <w:tc>
          <w:tcPr>
            <w:tcW w:w="1333" w:type="dxa"/>
            <w:tcBorders>
              <w:top w:val="nil"/>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1</w:t>
            </w:r>
          </w:p>
        </w:tc>
        <w:tc>
          <w:tcPr>
            <w:tcW w:w="2589" w:type="dxa"/>
            <w:gridSpan w:val="2"/>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bCs/>
                <w:sz w:val="22"/>
                <w:szCs w:val="22"/>
              </w:rPr>
            </w:pPr>
          </w:p>
        </w:tc>
        <w:tc>
          <w:tcPr>
            <w:tcW w:w="4501" w:type="dxa"/>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sz w:val="22"/>
                <w:szCs w:val="22"/>
              </w:rPr>
            </w:pPr>
          </w:p>
        </w:tc>
      </w:tr>
      <w:tr w:rsidR="005818D4" w:rsidRPr="00487EB6" w:rsidTr="007D6C75">
        <w:trPr>
          <w:trHeight w:hRule="exact" w:val="567"/>
        </w:trPr>
        <w:tc>
          <w:tcPr>
            <w:tcW w:w="417" w:type="dxa"/>
            <w:tcBorders>
              <w:top w:val="nil"/>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t>9.</w:t>
            </w:r>
          </w:p>
        </w:tc>
        <w:tc>
          <w:tcPr>
            <w:tcW w:w="5611"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Stacja do pracy pomp w środowisku MRI</w:t>
            </w:r>
          </w:p>
        </w:tc>
        <w:tc>
          <w:tcPr>
            <w:tcW w:w="1333" w:type="dxa"/>
            <w:tcBorders>
              <w:top w:val="nil"/>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1</w:t>
            </w:r>
          </w:p>
        </w:tc>
        <w:tc>
          <w:tcPr>
            <w:tcW w:w="2589" w:type="dxa"/>
            <w:gridSpan w:val="2"/>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bCs/>
                <w:sz w:val="22"/>
                <w:szCs w:val="22"/>
              </w:rPr>
            </w:pPr>
          </w:p>
        </w:tc>
        <w:tc>
          <w:tcPr>
            <w:tcW w:w="4501" w:type="dxa"/>
            <w:tcBorders>
              <w:top w:val="nil"/>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sz w:val="22"/>
                <w:szCs w:val="22"/>
              </w:rPr>
            </w:pPr>
          </w:p>
        </w:tc>
      </w:tr>
      <w:tr w:rsidR="005818D4" w:rsidRPr="00487EB6" w:rsidTr="007D6C75">
        <w:trPr>
          <w:trHeight w:hRule="exact" w:val="567"/>
        </w:trPr>
        <w:tc>
          <w:tcPr>
            <w:tcW w:w="417" w:type="dxa"/>
            <w:tcBorders>
              <w:top w:val="single" w:sz="4" w:space="0" w:color="auto"/>
              <w:left w:val="single" w:sz="4" w:space="0" w:color="auto"/>
              <w:bottom w:val="single" w:sz="4" w:space="0" w:color="auto"/>
              <w:right w:val="single" w:sz="4" w:space="0" w:color="auto"/>
            </w:tcBorders>
            <w:vAlign w:val="center"/>
          </w:tcPr>
          <w:p w:rsidR="005818D4" w:rsidRPr="00487EB6" w:rsidRDefault="005818D4" w:rsidP="005818D4">
            <w:pPr>
              <w:rPr>
                <w:rFonts w:ascii="Garamond" w:hAnsi="Garamond"/>
                <w:sz w:val="22"/>
                <w:szCs w:val="22"/>
              </w:rPr>
            </w:pPr>
            <w:r w:rsidRPr="00487EB6">
              <w:rPr>
                <w:rFonts w:ascii="Garamond" w:hAnsi="Garamond"/>
                <w:sz w:val="22"/>
                <w:szCs w:val="22"/>
              </w:rPr>
              <w:lastRenderedPageBreak/>
              <w:t>10.</w:t>
            </w:r>
          </w:p>
        </w:tc>
        <w:tc>
          <w:tcPr>
            <w:tcW w:w="5611" w:type="dxa"/>
            <w:tcBorders>
              <w:top w:val="single" w:sz="4" w:space="0" w:color="auto"/>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Pompy TCI-TIVA</w:t>
            </w:r>
          </w:p>
        </w:tc>
        <w:tc>
          <w:tcPr>
            <w:tcW w:w="1333" w:type="dxa"/>
            <w:tcBorders>
              <w:top w:val="single" w:sz="4" w:space="0" w:color="auto"/>
              <w:left w:val="nil"/>
              <w:bottom w:val="single" w:sz="4" w:space="0" w:color="auto"/>
              <w:right w:val="single" w:sz="4" w:space="0" w:color="auto"/>
            </w:tcBorders>
          </w:tcPr>
          <w:p w:rsidR="005818D4" w:rsidRPr="00487EB6" w:rsidRDefault="005818D4" w:rsidP="005818D4">
            <w:pPr>
              <w:rPr>
                <w:rFonts w:ascii="Garamond" w:hAnsi="Garamond"/>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5818D4" w:rsidRPr="00487EB6" w:rsidRDefault="005818D4" w:rsidP="005818D4">
            <w:pPr>
              <w:rPr>
                <w:rFonts w:ascii="Garamond" w:hAnsi="Garamond"/>
                <w:sz w:val="22"/>
                <w:szCs w:val="22"/>
              </w:rPr>
            </w:pPr>
            <w:r w:rsidRPr="00487EB6">
              <w:rPr>
                <w:rFonts w:ascii="Garamond" w:hAnsi="Garamond"/>
                <w:sz w:val="22"/>
                <w:szCs w:val="22"/>
              </w:rPr>
              <w:t>68</w:t>
            </w:r>
          </w:p>
        </w:tc>
        <w:tc>
          <w:tcPr>
            <w:tcW w:w="2589" w:type="dxa"/>
            <w:gridSpan w:val="2"/>
            <w:tcBorders>
              <w:top w:val="single" w:sz="4" w:space="0" w:color="auto"/>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bCs/>
                <w:sz w:val="22"/>
                <w:szCs w:val="22"/>
              </w:rPr>
            </w:pPr>
          </w:p>
        </w:tc>
        <w:tc>
          <w:tcPr>
            <w:tcW w:w="4501" w:type="dxa"/>
            <w:tcBorders>
              <w:top w:val="single" w:sz="4" w:space="0" w:color="auto"/>
              <w:left w:val="nil"/>
              <w:bottom w:val="single" w:sz="4" w:space="0" w:color="auto"/>
              <w:right w:val="single" w:sz="4" w:space="0" w:color="auto"/>
            </w:tcBorders>
            <w:shd w:val="clear" w:color="auto" w:fill="auto"/>
            <w:vAlign w:val="center"/>
          </w:tcPr>
          <w:p w:rsidR="005818D4" w:rsidRPr="00487EB6" w:rsidRDefault="005818D4" w:rsidP="005818D4">
            <w:pPr>
              <w:jc w:val="center"/>
              <w:rPr>
                <w:rFonts w:ascii="Garamond" w:hAnsi="Garamond" w:cs="Calibri"/>
                <w:sz w:val="22"/>
                <w:szCs w:val="22"/>
              </w:rPr>
            </w:pPr>
          </w:p>
        </w:tc>
      </w:tr>
      <w:tr w:rsidR="005818D4" w:rsidRPr="00487EB6" w:rsidTr="007D6C75">
        <w:trPr>
          <w:trHeight w:val="737"/>
        </w:trPr>
        <w:tc>
          <w:tcPr>
            <w:tcW w:w="417" w:type="dxa"/>
            <w:tcBorders>
              <w:top w:val="nil"/>
              <w:left w:val="nil"/>
              <w:bottom w:val="nil"/>
              <w:right w:val="nil"/>
            </w:tcBorders>
          </w:tcPr>
          <w:p w:rsidR="005818D4" w:rsidRPr="00487EB6" w:rsidRDefault="005818D4" w:rsidP="006506B1">
            <w:pPr>
              <w:rPr>
                <w:rFonts w:ascii="Garamond" w:hAnsi="Garamond"/>
                <w:sz w:val="22"/>
                <w:szCs w:val="22"/>
              </w:rPr>
            </w:pPr>
          </w:p>
        </w:tc>
        <w:tc>
          <w:tcPr>
            <w:tcW w:w="5611" w:type="dxa"/>
            <w:tcBorders>
              <w:top w:val="single" w:sz="4" w:space="0" w:color="auto"/>
              <w:left w:val="nil"/>
              <w:bottom w:val="nil"/>
            </w:tcBorders>
            <w:shd w:val="clear" w:color="auto" w:fill="auto"/>
            <w:vAlign w:val="center"/>
          </w:tcPr>
          <w:p w:rsidR="005818D4" w:rsidRPr="00487EB6" w:rsidRDefault="005818D4" w:rsidP="006506B1">
            <w:pPr>
              <w:rPr>
                <w:rFonts w:ascii="Garamond" w:hAnsi="Garamond"/>
                <w:sz w:val="22"/>
                <w:szCs w:val="22"/>
              </w:rPr>
            </w:pPr>
          </w:p>
        </w:tc>
        <w:tc>
          <w:tcPr>
            <w:tcW w:w="1333" w:type="dxa"/>
            <w:tcBorders>
              <w:top w:val="single" w:sz="4" w:space="0" w:color="auto"/>
              <w:right w:val="single" w:sz="4" w:space="0" w:color="auto"/>
            </w:tcBorders>
          </w:tcPr>
          <w:p w:rsidR="005818D4" w:rsidRPr="00487EB6" w:rsidRDefault="005818D4" w:rsidP="006506B1">
            <w:pPr>
              <w:rPr>
                <w:rFonts w:ascii="Garamond" w:hAnsi="Garamond" w:cs="Calibri"/>
                <w:b/>
                <w:bCs/>
                <w:sz w:val="22"/>
                <w:szCs w:val="22"/>
              </w:rPr>
            </w:pPr>
          </w:p>
        </w:tc>
        <w:tc>
          <w:tcPr>
            <w:tcW w:w="34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18D4" w:rsidRPr="00487EB6" w:rsidRDefault="005818D4" w:rsidP="006506B1">
            <w:pPr>
              <w:rPr>
                <w:rFonts w:ascii="Garamond" w:hAnsi="Garamond" w:cs="Calibri"/>
                <w:bCs/>
                <w:sz w:val="22"/>
                <w:szCs w:val="22"/>
              </w:rPr>
            </w:pPr>
            <w:r w:rsidRPr="00487EB6">
              <w:rPr>
                <w:rFonts w:ascii="Garamond" w:hAnsi="Garamond" w:cs="Calibri"/>
                <w:b/>
                <w:bCs/>
                <w:sz w:val="22"/>
                <w:szCs w:val="22"/>
              </w:rPr>
              <w:t>A:</w:t>
            </w:r>
            <w:r w:rsidRPr="00487EB6">
              <w:rPr>
                <w:rFonts w:ascii="Garamond" w:hAnsi="Garamond" w:cs="Calibri"/>
                <w:bCs/>
                <w:sz w:val="22"/>
                <w:szCs w:val="22"/>
              </w:rPr>
              <w:t xml:space="preserve"> Łączna cena brutto spr</w:t>
            </w:r>
            <w:r w:rsidR="00C85B5F" w:rsidRPr="00487EB6">
              <w:rPr>
                <w:rFonts w:ascii="Garamond" w:hAnsi="Garamond" w:cs="Calibri"/>
                <w:bCs/>
                <w:sz w:val="22"/>
                <w:szCs w:val="22"/>
              </w:rPr>
              <w:t>zętu</w:t>
            </w:r>
            <w:r w:rsidR="00487EB6" w:rsidRPr="00487EB6">
              <w:rPr>
                <w:rFonts w:ascii="Garamond" w:hAnsi="Garamond" w:cs="Calibri"/>
                <w:bCs/>
                <w:sz w:val="22"/>
                <w:szCs w:val="22"/>
              </w:rPr>
              <w:t xml:space="preserve"> wraz z dostawą </w:t>
            </w:r>
            <w:r w:rsidR="00C85B5F" w:rsidRPr="00487EB6">
              <w:rPr>
                <w:rFonts w:ascii="Garamond" w:hAnsi="Garamond" w:cs="Calibri"/>
                <w:bCs/>
                <w:sz w:val="22"/>
                <w:szCs w:val="22"/>
              </w:rPr>
              <w:t xml:space="preserve"> w zł (suma cen z poz. 1-10</w:t>
            </w:r>
            <w:r w:rsidRPr="00487EB6">
              <w:rPr>
                <w:rFonts w:ascii="Garamond" w:hAnsi="Garamond" w:cs="Calibri"/>
                <w:bCs/>
                <w:sz w:val="22"/>
                <w:szCs w:val="22"/>
              </w:rPr>
              <w:t>):</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rsidR="005818D4" w:rsidRPr="00487EB6" w:rsidRDefault="005818D4" w:rsidP="006506B1">
            <w:pPr>
              <w:jc w:val="center"/>
              <w:rPr>
                <w:rFonts w:ascii="Garamond" w:hAnsi="Garamond" w:cs="Calibri"/>
                <w:sz w:val="22"/>
                <w:szCs w:val="22"/>
              </w:rPr>
            </w:pPr>
          </w:p>
        </w:tc>
      </w:tr>
      <w:tr w:rsidR="005818D4" w:rsidRPr="00487EB6" w:rsidTr="007D6C75">
        <w:trPr>
          <w:trHeight w:val="300"/>
        </w:trPr>
        <w:tc>
          <w:tcPr>
            <w:tcW w:w="417" w:type="dxa"/>
            <w:tcBorders>
              <w:top w:val="nil"/>
              <w:left w:val="nil"/>
              <w:bottom w:val="nil"/>
              <w:right w:val="nil"/>
            </w:tcBorders>
          </w:tcPr>
          <w:p w:rsidR="005818D4" w:rsidRPr="00487EB6" w:rsidRDefault="005818D4" w:rsidP="006506B1">
            <w:pPr>
              <w:rPr>
                <w:rFonts w:ascii="Garamond" w:hAnsi="Garamond" w:cs="Calibri"/>
                <w:sz w:val="22"/>
                <w:szCs w:val="22"/>
              </w:rPr>
            </w:pPr>
          </w:p>
        </w:tc>
        <w:tc>
          <w:tcPr>
            <w:tcW w:w="5611" w:type="dxa"/>
            <w:tcBorders>
              <w:top w:val="nil"/>
              <w:left w:val="nil"/>
              <w:bottom w:val="nil"/>
              <w:right w:val="nil"/>
            </w:tcBorders>
            <w:shd w:val="clear" w:color="auto" w:fill="auto"/>
            <w:noWrap/>
            <w:vAlign w:val="center"/>
            <w:hideMark/>
          </w:tcPr>
          <w:p w:rsidR="005818D4" w:rsidRPr="00487EB6" w:rsidRDefault="005818D4" w:rsidP="006506B1">
            <w:pPr>
              <w:rPr>
                <w:rFonts w:ascii="Garamond" w:hAnsi="Garamond" w:cs="Calibri"/>
                <w:sz w:val="22"/>
                <w:szCs w:val="22"/>
              </w:rPr>
            </w:pPr>
          </w:p>
        </w:tc>
        <w:tc>
          <w:tcPr>
            <w:tcW w:w="1333" w:type="dxa"/>
            <w:tcBorders>
              <w:left w:val="nil"/>
              <w:right w:val="nil"/>
            </w:tcBorders>
          </w:tcPr>
          <w:p w:rsidR="005818D4" w:rsidRPr="00487EB6" w:rsidRDefault="005818D4" w:rsidP="006506B1">
            <w:pPr>
              <w:rPr>
                <w:rFonts w:ascii="Garamond" w:hAnsi="Garamond"/>
                <w:sz w:val="22"/>
                <w:szCs w:val="22"/>
              </w:rPr>
            </w:pPr>
          </w:p>
        </w:tc>
        <w:tc>
          <w:tcPr>
            <w:tcW w:w="1028" w:type="dxa"/>
            <w:gridSpan w:val="2"/>
            <w:tcBorders>
              <w:top w:val="single" w:sz="4" w:space="0" w:color="auto"/>
              <w:left w:val="nil"/>
              <w:bottom w:val="nil"/>
              <w:right w:val="nil"/>
            </w:tcBorders>
            <w:shd w:val="clear" w:color="auto" w:fill="auto"/>
            <w:noWrap/>
            <w:vAlign w:val="center"/>
            <w:hideMark/>
          </w:tcPr>
          <w:p w:rsidR="005818D4" w:rsidRPr="00487EB6" w:rsidRDefault="005818D4" w:rsidP="006506B1">
            <w:pPr>
              <w:rPr>
                <w:rFonts w:ascii="Garamond" w:hAnsi="Garamond"/>
                <w:sz w:val="22"/>
                <w:szCs w:val="22"/>
              </w:rPr>
            </w:pPr>
          </w:p>
        </w:tc>
        <w:tc>
          <w:tcPr>
            <w:tcW w:w="2425" w:type="dxa"/>
            <w:tcBorders>
              <w:top w:val="single" w:sz="4" w:space="0" w:color="auto"/>
              <w:left w:val="nil"/>
              <w:bottom w:val="nil"/>
              <w:right w:val="nil"/>
            </w:tcBorders>
            <w:shd w:val="clear" w:color="auto" w:fill="auto"/>
            <w:noWrap/>
            <w:vAlign w:val="bottom"/>
            <w:hideMark/>
          </w:tcPr>
          <w:p w:rsidR="005818D4" w:rsidRPr="00487EB6" w:rsidRDefault="005818D4" w:rsidP="006506B1">
            <w:pPr>
              <w:rPr>
                <w:rFonts w:ascii="Garamond" w:hAnsi="Garamond"/>
                <w:sz w:val="22"/>
                <w:szCs w:val="22"/>
              </w:rPr>
            </w:pPr>
          </w:p>
        </w:tc>
        <w:tc>
          <w:tcPr>
            <w:tcW w:w="4501" w:type="dxa"/>
            <w:tcBorders>
              <w:top w:val="nil"/>
              <w:left w:val="nil"/>
              <w:bottom w:val="single" w:sz="4" w:space="0" w:color="auto"/>
              <w:right w:val="single" w:sz="4" w:space="0" w:color="auto"/>
            </w:tcBorders>
            <w:shd w:val="clear" w:color="auto" w:fill="auto"/>
            <w:noWrap/>
            <w:vAlign w:val="bottom"/>
            <w:hideMark/>
          </w:tcPr>
          <w:p w:rsidR="005818D4" w:rsidRPr="00487EB6" w:rsidRDefault="005818D4" w:rsidP="006506B1">
            <w:pPr>
              <w:jc w:val="center"/>
              <w:rPr>
                <w:rFonts w:ascii="Garamond" w:hAnsi="Garamond"/>
                <w:sz w:val="22"/>
                <w:szCs w:val="22"/>
              </w:rPr>
            </w:pPr>
          </w:p>
        </w:tc>
      </w:tr>
      <w:tr w:rsidR="005818D4" w:rsidRPr="00487EB6" w:rsidTr="007D6C75">
        <w:trPr>
          <w:trHeight w:val="667"/>
        </w:trPr>
        <w:tc>
          <w:tcPr>
            <w:tcW w:w="417" w:type="dxa"/>
            <w:tcBorders>
              <w:top w:val="nil"/>
              <w:left w:val="nil"/>
              <w:bottom w:val="nil"/>
              <w:right w:val="nil"/>
            </w:tcBorders>
          </w:tcPr>
          <w:p w:rsidR="005818D4" w:rsidRPr="00487EB6" w:rsidRDefault="005818D4" w:rsidP="006506B1">
            <w:pPr>
              <w:rPr>
                <w:rFonts w:ascii="Garamond" w:hAnsi="Garamond" w:cs="Calibri"/>
                <w:sz w:val="22"/>
                <w:szCs w:val="22"/>
              </w:rPr>
            </w:pPr>
          </w:p>
        </w:tc>
        <w:tc>
          <w:tcPr>
            <w:tcW w:w="5611" w:type="dxa"/>
            <w:tcBorders>
              <w:top w:val="nil"/>
              <w:left w:val="nil"/>
              <w:bottom w:val="nil"/>
            </w:tcBorders>
            <w:shd w:val="clear" w:color="auto" w:fill="auto"/>
            <w:vAlign w:val="center"/>
            <w:hideMark/>
          </w:tcPr>
          <w:p w:rsidR="005818D4" w:rsidRPr="00487EB6" w:rsidRDefault="005818D4" w:rsidP="006506B1">
            <w:pPr>
              <w:rPr>
                <w:rFonts w:ascii="Garamond" w:hAnsi="Garamond" w:cs="Calibri"/>
                <w:sz w:val="22"/>
                <w:szCs w:val="22"/>
              </w:rPr>
            </w:pPr>
          </w:p>
        </w:tc>
        <w:tc>
          <w:tcPr>
            <w:tcW w:w="1333" w:type="dxa"/>
            <w:tcBorders>
              <w:right w:val="single" w:sz="4" w:space="0" w:color="auto"/>
            </w:tcBorders>
          </w:tcPr>
          <w:p w:rsidR="005818D4" w:rsidRPr="00487EB6" w:rsidRDefault="005818D4" w:rsidP="006506B1">
            <w:pPr>
              <w:rPr>
                <w:rFonts w:ascii="Garamond" w:hAnsi="Garamond" w:cs="Calibri"/>
                <w:b/>
                <w:sz w:val="22"/>
                <w:szCs w:val="22"/>
              </w:rPr>
            </w:pPr>
          </w:p>
        </w:tc>
        <w:tc>
          <w:tcPr>
            <w:tcW w:w="3453" w:type="dxa"/>
            <w:gridSpan w:val="3"/>
            <w:tcBorders>
              <w:top w:val="single" w:sz="4" w:space="0" w:color="auto"/>
              <w:left w:val="single" w:sz="4" w:space="0" w:color="auto"/>
              <w:bottom w:val="single" w:sz="4" w:space="0" w:color="auto"/>
              <w:right w:val="nil"/>
            </w:tcBorders>
            <w:shd w:val="clear" w:color="auto" w:fill="auto"/>
            <w:vAlign w:val="center"/>
            <w:hideMark/>
          </w:tcPr>
          <w:p w:rsidR="005818D4" w:rsidRPr="00487EB6" w:rsidRDefault="005818D4" w:rsidP="00487EB6">
            <w:pPr>
              <w:rPr>
                <w:rFonts w:ascii="Garamond" w:hAnsi="Garamond"/>
                <w:sz w:val="22"/>
                <w:szCs w:val="22"/>
              </w:rPr>
            </w:pPr>
            <w:r w:rsidRPr="00487EB6">
              <w:rPr>
                <w:rFonts w:ascii="Garamond" w:hAnsi="Garamond" w:cs="Calibri"/>
                <w:b/>
                <w:sz w:val="22"/>
                <w:szCs w:val="22"/>
              </w:rPr>
              <w:t>B:</w:t>
            </w:r>
            <w:r w:rsidRPr="00487EB6">
              <w:rPr>
                <w:rFonts w:ascii="Garamond" w:hAnsi="Garamond" w:cs="Calibri"/>
                <w:sz w:val="22"/>
                <w:szCs w:val="22"/>
              </w:rPr>
              <w:t xml:space="preserve"> </w:t>
            </w:r>
            <w:r w:rsidR="00487EB6" w:rsidRPr="00487EB6">
              <w:rPr>
                <w:rFonts w:ascii="Garamond" w:eastAsia="Calibri" w:hAnsi="Garamond"/>
                <w:sz w:val="22"/>
                <w:szCs w:val="22"/>
                <w:lang w:eastAsia="en-US"/>
              </w:rPr>
              <w:t>Cena brutto</w:t>
            </w:r>
            <w:r w:rsidR="00487EB6" w:rsidRPr="00487EB6">
              <w:rPr>
                <w:rFonts w:ascii="Garamond" w:hAnsi="Garamond"/>
                <w:bCs/>
                <w:sz w:val="22"/>
                <w:szCs w:val="22"/>
              </w:rPr>
              <w:t xml:space="preserve"> instal</w:t>
            </w:r>
            <w:r w:rsidR="00487EB6" w:rsidRPr="00487EB6">
              <w:rPr>
                <w:rFonts w:ascii="Garamond" w:eastAsia="Calibri" w:hAnsi="Garamond"/>
                <w:sz w:val="22"/>
                <w:szCs w:val="22"/>
                <w:lang w:eastAsia="en-US"/>
              </w:rPr>
              <w:t>acji</w:t>
            </w:r>
            <w:r w:rsidR="00E41267">
              <w:rPr>
                <w:rFonts w:ascii="Garamond" w:eastAsia="Calibri" w:hAnsi="Garamond"/>
                <w:sz w:val="22"/>
                <w:szCs w:val="22"/>
                <w:lang w:eastAsia="en-US"/>
              </w:rPr>
              <w:t xml:space="preserve">, uruchomienia w Nowej siedzibie </w:t>
            </w:r>
            <w:r w:rsidR="00487EB6" w:rsidRPr="00487EB6">
              <w:rPr>
                <w:rFonts w:ascii="Garamond" w:eastAsia="Calibri" w:hAnsi="Garamond"/>
                <w:sz w:val="22"/>
                <w:szCs w:val="22"/>
                <w:lang w:eastAsia="en-US"/>
              </w:rPr>
              <w:t>Szpitala (w zł):</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8D4" w:rsidRPr="00487EB6" w:rsidRDefault="005818D4" w:rsidP="006506B1">
            <w:pPr>
              <w:jc w:val="center"/>
              <w:rPr>
                <w:rFonts w:ascii="Garamond" w:hAnsi="Garamond" w:cs="Calibri"/>
                <w:sz w:val="22"/>
                <w:szCs w:val="22"/>
              </w:rPr>
            </w:pPr>
          </w:p>
        </w:tc>
      </w:tr>
      <w:tr w:rsidR="005818D4" w:rsidRPr="00487EB6" w:rsidTr="007D6C75">
        <w:trPr>
          <w:trHeight w:val="316"/>
        </w:trPr>
        <w:tc>
          <w:tcPr>
            <w:tcW w:w="417" w:type="dxa"/>
            <w:tcBorders>
              <w:top w:val="nil"/>
              <w:left w:val="nil"/>
              <w:right w:val="nil"/>
            </w:tcBorders>
          </w:tcPr>
          <w:p w:rsidR="005818D4" w:rsidRPr="00487EB6" w:rsidRDefault="005818D4" w:rsidP="006506B1">
            <w:pPr>
              <w:rPr>
                <w:rFonts w:ascii="Garamond" w:hAnsi="Garamond" w:cs="Calibri"/>
                <w:sz w:val="22"/>
                <w:szCs w:val="22"/>
              </w:rPr>
            </w:pPr>
          </w:p>
        </w:tc>
        <w:tc>
          <w:tcPr>
            <w:tcW w:w="5611" w:type="dxa"/>
            <w:tcBorders>
              <w:top w:val="nil"/>
              <w:left w:val="nil"/>
              <w:right w:val="nil"/>
            </w:tcBorders>
            <w:shd w:val="clear" w:color="auto" w:fill="auto"/>
            <w:vAlign w:val="center"/>
          </w:tcPr>
          <w:p w:rsidR="005818D4" w:rsidRPr="00487EB6" w:rsidRDefault="005818D4" w:rsidP="006506B1">
            <w:pPr>
              <w:rPr>
                <w:rFonts w:ascii="Garamond" w:hAnsi="Garamond" w:cs="Calibri"/>
                <w:sz w:val="22"/>
                <w:szCs w:val="22"/>
              </w:rPr>
            </w:pPr>
          </w:p>
        </w:tc>
        <w:tc>
          <w:tcPr>
            <w:tcW w:w="1333" w:type="dxa"/>
            <w:tcBorders>
              <w:left w:val="nil"/>
              <w:right w:val="nil"/>
            </w:tcBorders>
          </w:tcPr>
          <w:p w:rsidR="005818D4" w:rsidRPr="00487EB6" w:rsidRDefault="005818D4" w:rsidP="006506B1">
            <w:pPr>
              <w:rPr>
                <w:rFonts w:ascii="Garamond" w:hAnsi="Garamond"/>
                <w:sz w:val="22"/>
                <w:szCs w:val="22"/>
              </w:rPr>
            </w:pPr>
          </w:p>
        </w:tc>
        <w:tc>
          <w:tcPr>
            <w:tcW w:w="3453" w:type="dxa"/>
            <w:gridSpan w:val="3"/>
            <w:tcBorders>
              <w:top w:val="single" w:sz="4" w:space="0" w:color="auto"/>
              <w:left w:val="nil"/>
              <w:bottom w:val="single" w:sz="4" w:space="0" w:color="auto"/>
            </w:tcBorders>
            <w:shd w:val="clear" w:color="auto" w:fill="auto"/>
            <w:vAlign w:val="center"/>
          </w:tcPr>
          <w:p w:rsidR="005818D4" w:rsidRPr="00487EB6" w:rsidRDefault="005818D4" w:rsidP="006506B1">
            <w:pPr>
              <w:rPr>
                <w:rFonts w:ascii="Garamond" w:hAnsi="Garamond"/>
                <w:sz w:val="22"/>
                <w:szCs w:val="22"/>
              </w:rPr>
            </w:pPr>
          </w:p>
        </w:tc>
        <w:tc>
          <w:tcPr>
            <w:tcW w:w="4501" w:type="dxa"/>
            <w:tcBorders>
              <w:top w:val="single" w:sz="4" w:space="0" w:color="auto"/>
              <w:bottom w:val="single" w:sz="4" w:space="0" w:color="auto"/>
              <w:right w:val="single" w:sz="4" w:space="0" w:color="auto"/>
            </w:tcBorders>
            <w:shd w:val="clear" w:color="auto" w:fill="auto"/>
            <w:noWrap/>
            <w:vAlign w:val="bottom"/>
          </w:tcPr>
          <w:p w:rsidR="005818D4" w:rsidRPr="00487EB6" w:rsidRDefault="005818D4" w:rsidP="006506B1">
            <w:pPr>
              <w:jc w:val="center"/>
              <w:rPr>
                <w:rFonts w:ascii="Garamond" w:hAnsi="Garamond" w:cs="Calibri"/>
                <w:b/>
                <w:sz w:val="22"/>
                <w:szCs w:val="22"/>
              </w:rPr>
            </w:pPr>
          </w:p>
        </w:tc>
      </w:tr>
      <w:tr w:rsidR="005818D4" w:rsidRPr="00487EB6" w:rsidTr="007D6C75">
        <w:trPr>
          <w:trHeight w:val="937"/>
        </w:trPr>
        <w:tc>
          <w:tcPr>
            <w:tcW w:w="417" w:type="dxa"/>
            <w:tcBorders>
              <w:left w:val="nil"/>
              <w:right w:val="nil"/>
            </w:tcBorders>
          </w:tcPr>
          <w:p w:rsidR="005818D4" w:rsidRPr="00487EB6" w:rsidRDefault="005818D4" w:rsidP="006506B1">
            <w:pPr>
              <w:rPr>
                <w:rFonts w:ascii="Garamond" w:hAnsi="Garamond" w:cs="Calibri"/>
                <w:sz w:val="22"/>
                <w:szCs w:val="22"/>
              </w:rPr>
            </w:pPr>
          </w:p>
        </w:tc>
        <w:tc>
          <w:tcPr>
            <w:tcW w:w="5611" w:type="dxa"/>
            <w:tcBorders>
              <w:left w:val="nil"/>
            </w:tcBorders>
            <w:shd w:val="clear" w:color="auto" w:fill="auto"/>
            <w:vAlign w:val="center"/>
          </w:tcPr>
          <w:p w:rsidR="005818D4" w:rsidRPr="00487EB6" w:rsidRDefault="005818D4" w:rsidP="006506B1">
            <w:pPr>
              <w:rPr>
                <w:rFonts w:ascii="Garamond" w:hAnsi="Garamond" w:cs="Calibri"/>
                <w:sz w:val="22"/>
                <w:szCs w:val="22"/>
              </w:rPr>
            </w:pPr>
          </w:p>
        </w:tc>
        <w:tc>
          <w:tcPr>
            <w:tcW w:w="1333" w:type="dxa"/>
            <w:tcBorders>
              <w:right w:val="single" w:sz="4" w:space="0" w:color="auto"/>
            </w:tcBorders>
          </w:tcPr>
          <w:p w:rsidR="005818D4" w:rsidRPr="00487EB6" w:rsidRDefault="005818D4" w:rsidP="006506B1">
            <w:pPr>
              <w:rPr>
                <w:rFonts w:ascii="Garamond" w:hAnsi="Garamond" w:cs="Calibri"/>
                <w:b/>
                <w:sz w:val="22"/>
                <w:szCs w:val="22"/>
              </w:rPr>
            </w:pPr>
          </w:p>
        </w:tc>
        <w:tc>
          <w:tcPr>
            <w:tcW w:w="34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18D4" w:rsidRPr="00487EB6" w:rsidRDefault="005818D4" w:rsidP="00487EB6">
            <w:pPr>
              <w:rPr>
                <w:rFonts w:ascii="Garamond" w:hAnsi="Garamond"/>
                <w:sz w:val="22"/>
                <w:szCs w:val="22"/>
              </w:rPr>
            </w:pPr>
            <w:r w:rsidRPr="00487EB6">
              <w:rPr>
                <w:rFonts w:ascii="Garamond" w:hAnsi="Garamond" w:cs="Calibri"/>
                <w:b/>
                <w:sz w:val="22"/>
                <w:szCs w:val="22"/>
              </w:rPr>
              <w:t>C:</w:t>
            </w:r>
            <w:r w:rsidRPr="00487EB6">
              <w:rPr>
                <w:rFonts w:ascii="Garamond" w:hAnsi="Garamond" w:cs="Calibri"/>
                <w:sz w:val="22"/>
                <w:szCs w:val="22"/>
              </w:rPr>
              <w:t xml:space="preserve"> </w:t>
            </w:r>
            <w:r w:rsidR="00E41267">
              <w:rPr>
                <w:rFonts w:ascii="Garamond" w:hAnsi="Garamond"/>
                <w:sz w:val="22"/>
                <w:szCs w:val="22"/>
              </w:rPr>
              <w:t xml:space="preserve">Cena brutto szkoleń w nowej </w:t>
            </w:r>
            <w:r w:rsidR="00487EB6" w:rsidRPr="00487EB6">
              <w:rPr>
                <w:rFonts w:ascii="Garamond" w:hAnsi="Garamond"/>
                <w:sz w:val="22"/>
                <w:szCs w:val="22"/>
              </w:rPr>
              <w:t>siedzibie Szpitala Uniwersyteckiego</w:t>
            </w:r>
            <w:r w:rsidR="00487EB6" w:rsidRPr="00487EB6">
              <w:rPr>
                <w:rFonts w:ascii="Garamond" w:eastAsia="Calibri" w:hAnsi="Garamond"/>
                <w:sz w:val="22"/>
                <w:szCs w:val="22"/>
                <w:lang w:eastAsia="en-US"/>
              </w:rPr>
              <w:t xml:space="preserve"> (w zł):</w:t>
            </w:r>
          </w:p>
        </w:tc>
        <w:tc>
          <w:tcPr>
            <w:tcW w:w="45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18D4" w:rsidRPr="00487EB6" w:rsidRDefault="005818D4" w:rsidP="006506B1">
            <w:pPr>
              <w:jc w:val="center"/>
              <w:rPr>
                <w:rFonts w:ascii="Garamond" w:hAnsi="Garamond" w:cs="Calibri"/>
                <w:b/>
                <w:sz w:val="22"/>
                <w:szCs w:val="22"/>
              </w:rPr>
            </w:pPr>
          </w:p>
        </w:tc>
      </w:tr>
    </w:tbl>
    <w:p w:rsidR="005818D4" w:rsidRPr="00487EB6" w:rsidRDefault="005818D4" w:rsidP="000D5ED2">
      <w:pPr>
        <w:spacing w:line="288" w:lineRule="auto"/>
        <w:rPr>
          <w:rFonts w:ascii="Garamond" w:hAnsi="Garamond"/>
          <w:b/>
          <w:sz w:val="22"/>
          <w:szCs w:val="22"/>
        </w:rPr>
      </w:pPr>
    </w:p>
    <w:tbl>
      <w:tblPr>
        <w:tblpPr w:leftFromText="141" w:rightFromText="141" w:vertAnchor="text" w:horzAnchor="page" w:tblpX="8859" w:tblpY="11"/>
        <w:tblOverlap w:val="never"/>
        <w:tblW w:w="2834" w:type="pct"/>
        <w:tblCellMar>
          <w:left w:w="10" w:type="dxa"/>
          <w:right w:w="10" w:type="dxa"/>
        </w:tblCellMar>
        <w:tblLook w:val="04A0" w:firstRow="1" w:lastRow="0" w:firstColumn="1" w:lastColumn="0" w:noHBand="0" w:noVBand="1"/>
      </w:tblPr>
      <w:tblGrid>
        <w:gridCol w:w="3396"/>
        <w:gridCol w:w="4536"/>
      </w:tblGrid>
      <w:tr w:rsidR="00485AC0" w:rsidRPr="00487EB6" w:rsidTr="00485AC0">
        <w:trPr>
          <w:trHeight w:val="527"/>
        </w:trPr>
        <w:tc>
          <w:tcPr>
            <w:tcW w:w="214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87EB6" w:rsidRPr="00487EB6" w:rsidRDefault="00487EB6" w:rsidP="00487EB6">
            <w:pPr>
              <w:snapToGrid w:val="0"/>
              <w:jc w:val="center"/>
              <w:rPr>
                <w:rFonts w:ascii="Garamond" w:hAnsi="Garamond" w:cstheme="minorHAnsi"/>
                <w:bCs/>
                <w:sz w:val="22"/>
                <w:szCs w:val="22"/>
              </w:rPr>
            </w:pPr>
            <w:r w:rsidRPr="00487EB6">
              <w:rPr>
                <w:rFonts w:ascii="Garamond" w:hAnsi="Garamond" w:cstheme="minorHAnsi"/>
                <w:b/>
                <w:bCs/>
                <w:sz w:val="22"/>
                <w:szCs w:val="22"/>
              </w:rPr>
              <w:t>A+ B + C</w:t>
            </w:r>
            <w:r w:rsidRPr="00487EB6">
              <w:rPr>
                <w:rFonts w:ascii="Garamond" w:hAnsi="Garamond" w:cstheme="minorHAnsi"/>
                <w:bCs/>
                <w:sz w:val="22"/>
                <w:szCs w:val="22"/>
              </w:rPr>
              <w:t xml:space="preserve">: Cena brutto oferty </w:t>
            </w:r>
            <w:r w:rsidRPr="00487EB6">
              <w:rPr>
                <w:rFonts w:ascii="Garamond" w:hAnsi="Garamond" w:cstheme="minorHAnsi"/>
                <w:sz w:val="22"/>
                <w:szCs w:val="22"/>
              </w:rPr>
              <w:t>(w zł)</w:t>
            </w:r>
          </w:p>
        </w:tc>
        <w:tc>
          <w:tcPr>
            <w:tcW w:w="28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87EB6" w:rsidRPr="00487EB6" w:rsidRDefault="00487EB6" w:rsidP="00487EB6">
            <w:pPr>
              <w:snapToGrid w:val="0"/>
              <w:rPr>
                <w:rFonts w:ascii="Garamond" w:hAnsi="Garamond" w:cstheme="minorHAnsi"/>
                <w:bCs/>
                <w:sz w:val="22"/>
                <w:szCs w:val="22"/>
              </w:rPr>
            </w:pPr>
          </w:p>
        </w:tc>
      </w:tr>
    </w:tbl>
    <w:p w:rsidR="005818D4" w:rsidRPr="00487EB6" w:rsidRDefault="005818D4" w:rsidP="000D5ED2">
      <w:pPr>
        <w:spacing w:line="288" w:lineRule="auto"/>
        <w:rPr>
          <w:rFonts w:ascii="Garamond" w:hAnsi="Garamond"/>
          <w:b/>
          <w:sz w:val="22"/>
          <w:szCs w:val="22"/>
        </w:rPr>
      </w:pPr>
    </w:p>
    <w:p w:rsidR="005818D4" w:rsidRPr="00487EB6" w:rsidRDefault="005818D4" w:rsidP="000D5ED2">
      <w:pPr>
        <w:spacing w:line="288" w:lineRule="auto"/>
        <w:rPr>
          <w:rFonts w:ascii="Garamond" w:hAnsi="Garamond"/>
          <w:b/>
          <w:sz w:val="22"/>
          <w:szCs w:val="22"/>
        </w:rPr>
      </w:pPr>
    </w:p>
    <w:p w:rsidR="00812247" w:rsidRPr="00487EB6" w:rsidRDefault="00812247" w:rsidP="000D5ED2">
      <w:pPr>
        <w:spacing w:line="288" w:lineRule="auto"/>
        <w:rPr>
          <w:rFonts w:ascii="Garamond" w:hAnsi="Garamond"/>
          <w:sz w:val="22"/>
          <w:szCs w:val="22"/>
        </w:rPr>
      </w:pPr>
    </w:p>
    <w:p w:rsidR="00CE466C" w:rsidRPr="00487EB6" w:rsidRDefault="00CE466C" w:rsidP="000D5ED2">
      <w:pPr>
        <w:spacing w:line="288" w:lineRule="auto"/>
        <w:rPr>
          <w:rFonts w:ascii="Garamond" w:hAnsi="Garamond"/>
          <w:sz w:val="22"/>
          <w:szCs w:val="22"/>
        </w:rPr>
      </w:pPr>
    </w:p>
    <w:p w:rsidR="00CE466C" w:rsidRPr="00487EB6" w:rsidRDefault="00CE466C" w:rsidP="000D5ED2">
      <w:pPr>
        <w:spacing w:line="288" w:lineRule="auto"/>
        <w:rPr>
          <w:rFonts w:ascii="Garamond" w:hAnsi="Garamond"/>
          <w:sz w:val="22"/>
          <w:szCs w:val="22"/>
        </w:rPr>
      </w:pPr>
    </w:p>
    <w:p w:rsidR="00CE466C" w:rsidRPr="00487EB6" w:rsidRDefault="00CE466C" w:rsidP="000D5ED2">
      <w:pPr>
        <w:spacing w:line="288" w:lineRule="auto"/>
        <w:rPr>
          <w:rFonts w:ascii="Garamond" w:hAnsi="Garamond"/>
          <w:sz w:val="22"/>
          <w:szCs w:val="22"/>
        </w:rPr>
      </w:pPr>
    </w:p>
    <w:p w:rsidR="00CE466C" w:rsidRPr="00487EB6" w:rsidRDefault="00CE466C" w:rsidP="000D5ED2">
      <w:pPr>
        <w:spacing w:line="288" w:lineRule="auto"/>
        <w:rPr>
          <w:rFonts w:ascii="Garamond" w:hAnsi="Garamond"/>
          <w:sz w:val="22"/>
          <w:szCs w:val="22"/>
        </w:rPr>
      </w:pPr>
    </w:p>
    <w:p w:rsidR="00CE466C" w:rsidRPr="00487EB6" w:rsidRDefault="00CE466C" w:rsidP="000D5ED2">
      <w:pPr>
        <w:spacing w:line="288" w:lineRule="auto"/>
        <w:rPr>
          <w:rFonts w:ascii="Garamond" w:hAnsi="Garamond"/>
          <w:sz w:val="22"/>
          <w:szCs w:val="22"/>
        </w:rPr>
      </w:pPr>
    </w:p>
    <w:p w:rsidR="00812247" w:rsidRPr="00487EB6" w:rsidRDefault="00812247" w:rsidP="000D5ED2">
      <w:pPr>
        <w:spacing w:line="288" w:lineRule="auto"/>
        <w:rPr>
          <w:rFonts w:ascii="Garamond" w:hAnsi="Garamond"/>
          <w:sz w:val="22"/>
          <w:szCs w:val="22"/>
        </w:rPr>
      </w:pPr>
    </w:p>
    <w:p w:rsidR="00812247" w:rsidRPr="00487EB6" w:rsidRDefault="00812247" w:rsidP="000D5ED2">
      <w:pPr>
        <w:spacing w:line="288" w:lineRule="auto"/>
        <w:rPr>
          <w:rFonts w:ascii="Garamond" w:eastAsia="Times New Roman" w:hAnsi="Garamond" w:cs="Arial"/>
          <w:b/>
          <w:bCs/>
          <w:sz w:val="22"/>
          <w:szCs w:val="22"/>
        </w:rPr>
      </w:pPr>
      <w:r w:rsidRPr="00487EB6">
        <w:rPr>
          <w:rFonts w:ascii="Garamond" w:eastAsia="Times New Roman" w:hAnsi="Garamond" w:cs="Arial"/>
          <w:b/>
          <w:bCs/>
          <w:sz w:val="22"/>
          <w:szCs w:val="22"/>
        </w:rPr>
        <w:lastRenderedPageBreak/>
        <w:t>PARAMETRY TECHNICZNE I EKSPLOATACYJNE</w:t>
      </w:r>
    </w:p>
    <w:p w:rsidR="00812247" w:rsidRPr="00487EB6" w:rsidRDefault="00812247" w:rsidP="000D5ED2">
      <w:pPr>
        <w:spacing w:line="288" w:lineRule="auto"/>
        <w:rPr>
          <w:rFonts w:ascii="Garamond" w:eastAsia="Times New Roman" w:hAnsi="Garamond" w:cs="Arial"/>
          <w:b/>
          <w:bCs/>
          <w:sz w:val="22"/>
          <w:szCs w:val="22"/>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hideMark/>
          </w:tcPr>
          <w:p w:rsidR="00812247" w:rsidRPr="00487EB6" w:rsidRDefault="00812247" w:rsidP="000D5ED2">
            <w:pPr>
              <w:spacing w:line="288" w:lineRule="auto"/>
              <w:jc w:val="center"/>
              <w:rPr>
                <w:rFonts w:ascii="Garamond" w:eastAsia="Times New Roman" w:hAnsi="Garamond" w:cs="Arial"/>
                <w:b/>
                <w:bCs/>
                <w:sz w:val="22"/>
                <w:szCs w:val="22"/>
              </w:rPr>
            </w:pPr>
            <w:r w:rsidRPr="00487EB6">
              <w:rPr>
                <w:rFonts w:ascii="Garamond" w:eastAsia="Times New Roman" w:hAnsi="Garamond" w:cs="Arial"/>
                <w:b/>
                <w:bCs/>
                <w:sz w:val="22"/>
                <w:szCs w:val="22"/>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812247" w:rsidRPr="00487EB6" w:rsidRDefault="00812247" w:rsidP="000D5ED2">
            <w:pPr>
              <w:spacing w:line="288" w:lineRule="auto"/>
              <w:jc w:val="center"/>
              <w:rPr>
                <w:rFonts w:ascii="Garamond" w:eastAsia="Times New Roman" w:hAnsi="Garamond" w:cs="Arial"/>
                <w:b/>
                <w:bCs/>
                <w:sz w:val="22"/>
                <w:szCs w:val="22"/>
              </w:rPr>
            </w:pPr>
            <w:r w:rsidRPr="00487EB6">
              <w:rPr>
                <w:rFonts w:ascii="Garamond" w:eastAsia="Times New Roman" w:hAnsi="Garamond" w:cs="Arial"/>
                <w:b/>
                <w:bCs/>
                <w:sz w:val="22"/>
                <w:szCs w:val="22"/>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rsidR="00812247" w:rsidRPr="00487EB6" w:rsidRDefault="00812247" w:rsidP="000D5ED2">
            <w:pPr>
              <w:spacing w:line="288" w:lineRule="auto"/>
              <w:jc w:val="center"/>
              <w:rPr>
                <w:rFonts w:ascii="Garamond" w:eastAsia="Times New Roman" w:hAnsi="Garamond" w:cs="Arial"/>
                <w:b/>
                <w:bCs/>
                <w:sz w:val="22"/>
                <w:szCs w:val="22"/>
              </w:rPr>
            </w:pPr>
            <w:r w:rsidRPr="00487EB6">
              <w:rPr>
                <w:rFonts w:ascii="Garamond" w:eastAsia="Times New Roman" w:hAnsi="Garamond" w:cs="Arial"/>
                <w:b/>
                <w:bCs/>
                <w:sz w:val="22"/>
                <w:szCs w:val="22"/>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rsidR="00812247" w:rsidRPr="00487EB6" w:rsidRDefault="00812247" w:rsidP="000D5ED2">
            <w:pPr>
              <w:spacing w:line="288" w:lineRule="auto"/>
              <w:jc w:val="center"/>
              <w:rPr>
                <w:rFonts w:ascii="Garamond" w:eastAsia="Times New Roman" w:hAnsi="Garamond" w:cs="Arial"/>
                <w:b/>
                <w:bCs/>
                <w:sz w:val="22"/>
                <w:szCs w:val="22"/>
              </w:rPr>
            </w:pPr>
            <w:r w:rsidRPr="00487EB6">
              <w:rPr>
                <w:rFonts w:ascii="Garamond" w:eastAsia="Times New Roman" w:hAnsi="Garamond" w:cs="Arial"/>
                <w:b/>
                <w:bCs/>
                <w:sz w:val="22"/>
                <w:szCs w:val="22"/>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rsidR="00812247" w:rsidRPr="00487EB6" w:rsidRDefault="00812247" w:rsidP="000D5ED2">
            <w:pPr>
              <w:spacing w:line="288" w:lineRule="auto"/>
              <w:jc w:val="both"/>
              <w:rPr>
                <w:rFonts w:ascii="Garamond" w:eastAsia="Times New Roman" w:hAnsi="Garamond" w:cs="Arial"/>
                <w:b/>
                <w:bCs/>
                <w:sz w:val="22"/>
                <w:szCs w:val="22"/>
              </w:rPr>
            </w:pPr>
            <w:r w:rsidRPr="00487EB6">
              <w:rPr>
                <w:rFonts w:ascii="Garamond" w:eastAsia="Times New Roman" w:hAnsi="Garamond" w:cs="Arial"/>
                <w:b/>
                <w:bCs/>
                <w:sz w:val="22"/>
                <w:szCs w:val="22"/>
              </w:rPr>
              <w:t>Ocena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812247" w:rsidRPr="00487EB6" w:rsidRDefault="00812247"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rsidR="00812247" w:rsidRPr="00487EB6" w:rsidRDefault="00A545D4" w:rsidP="000D5ED2">
            <w:pPr>
              <w:spacing w:line="288" w:lineRule="auto"/>
              <w:rPr>
                <w:rFonts w:ascii="Garamond" w:eastAsia="Times New Roman" w:hAnsi="Garamond" w:cs="Arial"/>
                <w:b/>
                <w:bCs/>
                <w:sz w:val="22"/>
                <w:szCs w:val="22"/>
              </w:rPr>
            </w:pPr>
            <w:r w:rsidRPr="00487EB6">
              <w:rPr>
                <w:rFonts w:ascii="Garamond" w:eastAsia="Times New Roman" w:hAnsi="Garamond" w:cs="Arial"/>
                <w:b/>
                <w:bCs/>
                <w:sz w:val="22"/>
                <w:szCs w:val="22"/>
              </w:rPr>
              <w:t>Informacje ogólne</w:t>
            </w:r>
          </w:p>
        </w:tc>
        <w:tc>
          <w:tcPr>
            <w:tcW w:w="1984" w:type="dxa"/>
            <w:tcBorders>
              <w:top w:val="single" w:sz="4" w:space="0" w:color="auto"/>
              <w:left w:val="single" w:sz="4" w:space="0" w:color="auto"/>
              <w:bottom w:val="single" w:sz="4" w:space="0" w:color="auto"/>
              <w:right w:val="single" w:sz="4" w:space="0" w:color="auto"/>
            </w:tcBorders>
            <w:vAlign w:val="center"/>
          </w:tcPr>
          <w:p w:rsidR="00812247" w:rsidRPr="00487EB6" w:rsidRDefault="00812247" w:rsidP="000D5ED2">
            <w:pPr>
              <w:spacing w:line="288" w:lineRule="auto"/>
              <w:jc w:val="center"/>
              <w:rPr>
                <w:rFonts w:ascii="Garamond" w:eastAsia="Times New Roman" w:hAnsi="Garamond" w:cs="Arial"/>
                <w:b/>
                <w:bCs/>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812247" w:rsidRPr="00487EB6" w:rsidRDefault="00812247" w:rsidP="000D5ED2">
            <w:pPr>
              <w:spacing w:line="288" w:lineRule="auto"/>
              <w:jc w:val="center"/>
              <w:rPr>
                <w:rFonts w:ascii="Garamond" w:eastAsia="Times New Roman" w:hAnsi="Garamond" w:cs="Arial"/>
                <w:b/>
                <w:bCs/>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812247" w:rsidRPr="00487EB6" w:rsidRDefault="00812247" w:rsidP="000D5ED2">
            <w:pPr>
              <w:spacing w:line="288" w:lineRule="auto"/>
              <w:jc w:val="both"/>
              <w:rPr>
                <w:rFonts w:ascii="Garamond" w:eastAsia="Times New Roman" w:hAnsi="Garamond" w:cs="Arial"/>
                <w:b/>
                <w:bCs/>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Nagwek3"/>
              <w:snapToGrid w:val="0"/>
              <w:spacing w:line="288" w:lineRule="auto"/>
              <w:ind w:left="0" w:firstLine="0"/>
              <w:rPr>
                <w:rFonts w:ascii="Garamond" w:hAnsi="Garamond"/>
                <w:b w:val="0"/>
                <w:sz w:val="22"/>
                <w:lang w:eastAsia="en-US"/>
              </w:rPr>
            </w:pPr>
            <w:r w:rsidRPr="00487EB6">
              <w:rPr>
                <w:rFonts w:ascii="Garamond" w:hAnsi="Garamond"/>
                <w:b w:val="0"/>
                <w:sz w:val="22"/>
                <w:lang w:eastAsia="en-US"/>
              </w:rPr>
              <w:t>Każde elektroniczne urządzenie  z dołączonym pełnym interfejsem do  komunikacji z systemem do monitorowania i zarządzania pracą OIOM wiodących producentów.</w:t>
            </w:r>
          </w:p>
          <w:p w:rsidR="00A545D4" w:rsidRPr="00487EB6" w:rsidRDefault="00A545D4" w:rsidP="000D5ED2">
            <w:pPr>
              <w:pStyle w:val="Nagwek3"/>
              <w:snapToGrid w:val="0"/>
              <w:spacing w:line="288" w:lineRule="auto"/>
              <w:ind w:left="0" w:firstLine="0"/>
              <w:rPr>
                <w:rFonts w:ascii="Garamond" w:hAnsi="Garamond"/>
                <w:b w:val="0"/>
                <w:sz w:val="22"/>
                <w:lang w:eastAsia="en-US"/>
              </w:rPr>
            </w:pPr>
          </w:p>
          <w:p w:rsidR="00A545D4" w:rsidRPr="00487EB6" w:rsidRDefault="00A545D4" w:rsidP="000D5ED2">
            <w:pPr>
              <w:pStyle w:val="Nagwek3"/>
              <w:snapToGrid w:val="0"/>
              <w:spacing w:line="288" w:lineRule="auto"/>
              <w:ind w:left="0" w:firstLine="0"/>
              <w:rPr>
                <w:rFonts w:ascii="Garamond" w:hAnsi="Garamond"/>
                <w:b w:val="0"/>
                <w:sz w:val="22"/>
                <w:lang w:eastAsia="en-US"/>
              </w:rPr>
            </w:pPr>
            <w:r w:rsidRPr="00487EB6">
              <w:rPr>
                <w:rFonts w:ascii="Garamond" w:hAnsi="Garamond"/>
                <w:b w:val="0"/>
                <w:sz w:val="22"/>
                <w:lang w:eastAsia="en-US"/>
              </w:rPr>
              <w:t xml:space="preserve">Opisany system pozwala m.in. na gromadzenie danych infuzji, systemów monitorowania pacjenta, wentylacji oraz hemodializy, a także wielowarstwową analizę informacji zarówno dla całości OIOM jak i  poszczególnych stanowisk pacjentów.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before="100" w:beforeAutospacing="1" w:after="100" w:afterAutospacing="1" w:line="288" w:lineRule="auto"/>
              <w:jc w:val="center"/>
              <w:rPr>
                <w:rFonts w:ascii="Garamond" w:hAnsi="Garamond"/>
                <w:bCs/>
                <w:sz w:val="22"/>
                <w:szCs w:val="22"/>
                <w:lang w:eastAsia="en-US"/>
              </w:rPr>
            </w:pPr>
            <w:r w:rsidRPr="00487EB6">
              <w:rPr>
                <w:rFonts w:ascii="Garamond" w:hAnsi="Garamond"/>
                <w:bCs/>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before="100" w:beforeAutospacing="1" w:after="100" w:afterAutospacing="1" w:line="288" w:lineRule="auto"/>
              <w:jc w:val="center"/>
              <w:rPr>
                <w:rFonts w:ascii="Garamond" w:hAnsi="Garamond"/>
                <w:bCs/>
                <w:sz w:val="22"/>
                <w:szCs w:val="22"/>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before="100" w:beforeAutospacing="1" w:after="100" w:afterAutospacing="1" w:line="288" w:lineRule="auto"/>
              <w:jc w:val="center"/>
              <w:rPr>
                <w:rFonts w:ascii="Garamond" w:hAnsi="Garamond"/>
                <w:bCs/>
                <w:sz w:val="22"/>
                <w:szCs w:val="22"/>
                <w:lang w:eastAsia="en-US"/>
              </w:rPr>
            </w:pPr>
            <w:r w:rsidRPr="00487EB6">
              <w:rPr>
                <w:rFonts w:ascii="Garamond" w:hAnsi="Garamond"/>
                <w:bCs/>
                <w:sz w:val="22"/>
                <w:szCs w:val="22"/>
                <w:lang w:eastAsia="en-US"/>
              </w:rPr>
              <w: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Nagwek3"/>
              <w:snapToGrid w:val="0"/>
              <w:spacing w:line="288" w:lineRule="auto"/>
              <w:ind w:left="0" w:firstLine="0"/>
              <w:rPr>
                <w:rFonts w:ascii="Garamond" w:hAnsi="Garamond"/>
                <w:sz w:val="22"/>
              </w:rPr>
            </w:pPr>
            <w:r w:rsidRPr="00487EB6">
              <w:rPr>
                <w:rFonts w:ascii="Garamond" w:hAnsi="Garamond"/>
                <w:b w:val="0"/>
                <w:sz w:val="22"/>
                <w:lang w:eastAsia="en-US"/>
              </w:rPr>
              <w:t xml:space="preserve">Ujednolicony panel sterowania w pompach </w:t>
            </w:r>
            <w:proofErr w:type="spellStart"/>
            <w:r w:rsidRPr="00487EB6">
              <w:rPr>
                <w:rFonts w:ascii="Garamond" w:hAnsi="Garamond"/>
                <w:b w:val="0"/>
                <w:sz w:val="22"/>
                <w:lang w:eastAsia="en-US"/>
              </w:rPr>
              <w:t>strzykawkowych</w:t>
            </w:r>
            <w:proofErr w:type="spellEnd"/>
            <w:r w:rsidRPr="00487EB6">
              <w:rPr>
                <w:rFonts w:ascii="Garamond" w:hAnsi="Garamond"/>
                <w:b w:val="0"/>
                <w:sz w:val="22"/>
                <w:lang w:eastAsia="en-US"/>
              </w:rPr>
              <w:t xml:space="preserve"> i objętościowych</w:t>
            </w:r>
            <w:r w:rsidRPr="00487EB6">
              <w:rPr>
                <w:rFonts w:ascii="Garamond" w:hAnsi="Garamond"/>
                <w:sz w:val="22"/>
              </w:rPr>
              <w:t>.</w:t>
            </w:r>
          </w:p>
          <w:p w:rsidR="00A545D4" w:rsidRPr="00487EB6" w:rsidRDefault="00A545D4" w:rsidP="000D5ED2">
            <w:pPr>
              <w:spacing w:line="288" w:lineRule="auto"/>
              <w:rPr>
                <w:rFonts w:ascii="Garamond" w:hAnsi="Garamond"/>
                <w:sz w:val="22"/>
                <w:szCs w:val="22"/>
              </w:rPr>
            </w:pPr>
          </w:p>
          <w:p w:rsidR="00A545D4" w:rsidRPr="00487EB6" w:rsidRDefault="00A545D4" w:rsidP="000D5ED2">
            <w:pPr>
              <w:pStyle w:val="Nagwek3"/>
              <w:snapToGrid w:val="0"/>
              <w:spacing w:line="288" w:lineRule="auto"/>
              <w:ind w:left="0" w:firstLine="0"/>
              <w:rPr>
                <w:rFonts w:ascii="Garamond" w:hAnsi="Garamond"/>
                <w:b w:val="0"/>
                <w:sz w:val="22"/>
                <w:lang w:eastAsia="en-US"/>
              </w:rPr>
            </w:pPr>
            <w:r w:rsidRPr="00487EB6">
              <w:rPr>
                <w:rFonts w:ascii="Garamond" w:hAnsi="Garamond"/>
                <w:b w:val="0"/>
                <w:sz w:val="22"/>
              </w:rPr>
              <w:t xml:space="preserve">Zasilanie wszystkich urządzeń elektrycznych: 220-240 V AC, 50 </w:t>
            </w:r>
            <w:proofErr w:type="spellStart"/>
            <w:r w:rsidRPr="00487EB6">
              <w:rPr>
                <w:rFonts w:ascii="Garamond" w:hAnsi="Garamond"/>
                <w:b w:val="0"/>
                <w:sz w:val="22"/>
              </w:rPr>
              <w:t>Hz</w:t>
            </w:r>
            <w:proofErr w:type="spellEnd"/>
            <w:r w:rsidRPr="00487EB6">
              <w:rPr>
                <w:rFonts w:ascii="Garamond" w:hAnsi="Garamond"/>
                <w:b w:val="0"/>
                <w:sz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before="100" w:beforeAutospacing="1" w:after="100" w:afterAutospacing="1" w:line="288" w:lineRule="auto"/>
              <w:jc w:val="center"/>
              <w:rPr>
                <w:rFonts w:ascii="Garamond" w:hAnsi="Garamond"/>
                <w:bCs/>
                <w:sz w:val="22"/>
                <w:szCs w:val="22"/>
                <w:lang w:eastAsia="en-US"/>
              </w:rPr>
            </w:pPr>
            <w:r w:rsidRPr="00487EB6">
              <w:rPr>
                <w:rFonts w:ascii="Garamond" w:hAnsi="Garamond"/>
                <w:bCs/>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pacing w:line="288" w:lineRule="auto"/>
              <w:jc w:val="center"/>
              <w:rPr>
                <w:rFonts w:ascii="Garamond" w:hAnsi="Garamond"/>
                <w:b/>
                <w:sz w:val="22"/>
                <w:szCs w:val="22"/>
                <w:u w:val="single"/>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bCs/>
                <w:sz w:val="22"/>
                <w:szCs w:val="22"/>
                <w:lang w:eastAsia="en-US"/>
              </w:rPr>
            </w:pPr>
            <w:r w:rsidRPr="00487EB6">
              <w:rPr>
                <w:rFonts w:ascii="Garamond" w:hAnsi="Garamond"/>
                <w:bCs/>
                <w:sz w:val="22"/>
                <w:szCs w:val="22"/>
                <w:lang w:eastAsia="en-US"/>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Nagwek3"/>
              <w:snapToGrid w:val="0"/>
              <w:spacing w:line="288" w:lineRule="auto"/>
              <w:ind w:left="0" w:firstLine="0"/>
              <w:rPr>
                <w:rFonts w:ascii="Garamond" w:hAnsi="Garamond"/>
                <w:b w:val="0"/>
                <w:sz w:val="22"/>
                <w:lang w:eastAsia="en-US"/>
              </w:rPr>
            </w:pPr>
            <w:r w:rsidRPr="00487EB6">
              <w:rPr>
                <w:rFonts w:ascii="Garamond" w:hAnsi="Garamond"/>
                <w:b w:val="0"/>
                <w:sz w:val="22"/>
                <w:lang w:eastAsia="en-US"/>
              </w:rPr>
              <w:t xml:space="preserve">Wszystkie zaoferowane urządzenia </w:t>
            </w:r>
            <w:r w:rsidRPr="00487EB6">
              <w:rPr>
                <w:rFonts w:ascii="Garamond" w:hAnsi="Garamond"/>
                <w:b w:val="0"/>
                <w:strike/>
                <w:sz w:val="22"/>
                <w:lang w:eastAsia="en-US"/>
              </w:rPr>
              <w:t xml:space="preserve">-  </w:t>
            </w:r>
            <w:r w:rsidRPr="00487EB6">
              <w:rPr>
                <w:rFonts w:ascii="Garamond" w:hAnsi="Garamond"/>
                <w:b w:val="0"/>
                <w:sz w:val="22"/>
                <w:lang w:eastAsia="en-US"/>
              </w:rPr>
              <w:t>kompatybilne. Pompy i stacje w pełni przystosowane do współpracy z zaoferowanym (wymaganym przez zamawiającego) oprogramowaniem do infuzji. (ten sam producent oprogramowania, w przypadku innego producenta części oprogramowania wymaga się aby oprogramowanie było dedykowane wyłącznie do obsługi oferowanego systemu infuzji)</w:t>
            </w:r>
          </w:p>
          <w:p w:rsidR="00A545D4" w:rsidRPr="00487EB6" w:rsidRDefault="00A545D4" w:rsidP="000D5ED2">
            <w:pPr>
              <w:spacing w:line="288" w:lineRule="auto"/>
              <w:rPr>
                <w:rFonts w:ascii="Garamond" w:hAnsi="Garamond"/>
                <w:sz w:val="22"/>
                <w:szCs w:val="22"/>
                <w:lang w:eastAsia="en-US"/>
              </w:rPr>
            </w:pPr>
          </w:p>
          <w:p w:rsidR="00A545D4" w:rsidRPr="00487EB6" w:rsidRDefault="00A545D4" w:rsidP="000D5ED2">
            <w:pPr>
              <w:spacing w:line="288" w:lineRule="auto"/>
              <w:rPr>
                <w:rFonts w:ascii="Garamond" w:hAnsi="Garamond"/>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before="100" w:beforeAutospacing="1" w:after="100" w:afterAutospacing="1" w:line="288" w:lineRule="auto"/>
              <w:jc w:val="center"/>
              <w:rPr>
                <w:rFonts w:ascii="Garamond" w:hAnsi="Garamond"/>
                <w:bCs/>
                <w:sz w:val="22"/>
                <w:szCs w:val="22"/>
                <w:lang w:eastAsia="en-US"/>
              </w:rPr>
            </w:pPr>
            <w:r w:rsidRPr="00487EB6">
              <w:rPr>
                <w:rFonts w:ascii="Garamond" w:hAnsi="Garamond"/>
                <w:bCs/>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bCs/>
                <w:sz w:val="22"/>
                <w:szCs w:val="22"/>
                <w:lang w:eastAsia="en-US"/>
              </w:rPr>
            </w:pPr>
            <w:r w:rsidRPr="00487EB6">
              <w:rPr>
                <w:rFonts w:ascii="Garamond" w:hAnsi="Garamond"/>
                <w:bCs/>
                <w:sz w:val="22"/>
                <w:szCs w:val="22"/>
                <w:lang w:eastAsia="en-US"/>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rsidR="00A545D4" w:rsidRPr="00487EB6" w:rsidRDefault="00A545D4" w:rsidP="000D5ED2">
            <w:pPr>
              <w:spacing w:line="288" w:lineRule="auto"/>
              <w:rPr>
                <w:rFonts w:ascii="Garamond" w:eastAsia="Times New Roman" w:hAnsi="Garamond" w:cs="Arial"/>
                <w:b/>
                <w:bCs/>
                <w:sz w:val="22"/>
                <w:szCs w:val="22"/>
              </w:rPr>
            </w:pPr>
            <w:r w:rsidRPr="00487EB6">
              <w:rPr>
                <w:rFonts w:ascii="Garamond" w:hAnsi="Garamond"/>
                <w:b/>
                <w:sz w:val="22"/>
                <w:szCs w:val="22"/>
              </w:rPr>
              <w:t xml:space="preserve">Pompy </w:t>
            </w:r>
            <w:proofErr w:type="spellStart"/>
            <w:r w:rsidRPr="00487EB6">
              <w:rPr>
                <w:rFonts w:ascii="Garamond" w:hAnsi="Garamond"/>
                <w:b/>
                <w:sz w:val="22"/>
                <w:szCs w:val="22"/>
              </w:rPr>
              <w:t>strzykawkowe</w:t>
            </w:r>
            <w:proofErr w:type="spellEnd"/>
            <w:r w:rsidRPr="00487EB6">
              <w:rPr>
                <w:rFonts w:ascii="Garamond" w:hAnsi="Garamond"/>
                <w:b/>
                <w:sz w:val="22"/>
                <w:szCs w:val="22"/>
              </w:rPr>
              <w:t xml:space="preserve"> (biblioteka leków) – 574 szt.</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pacing w:line="288" w:lineRule="auto"/>
              <w:jc w:val="center"/>
              <w:rPr>
                <w:rFonts w:ascii="Garamond" w:eastAsia="Times New Roman" w:hAnsi="Garamond" w:cs="Arial"/>
                <w:b/>
                <w:bCs/>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pacing w:line="288" w:lineRule="auto"/>
              <w:jc w:val="center"/>
              <w:rPr>
                <w:rFonts w:ascii="Garamond" w:eastAsia="Times New Roman" w:hAnsi="Garamond" w:cs="Arial"/>
                <w:b/>
                <w:bCs/>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pacing w:line="288" w:lineRule="auto"/>
              <w:jc w:val="both"/>
              <w:rPr>
                <w:rFonts w:ascii="Garamond" w:eastAsia="Times New Roman" w:hAnsi="Garamond" w:cs="Arial"/>
                <w:b/>
                <w:bCs/>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Oferowane urządzenia muszą spełniać normę                  EN 60601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bCs/>
                <w:sz w:val="22"/>
                <w:szCs w:val="22"/>
                <w:lang w:eastAsia="en-US"/>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Zabezpieczenie pompy przed przypadkowym zalaniem układów mechaniki i elektroniki, podać stopień ochrony IP – wymagany nie mniej niż IP 22</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b/>
                <w:sz w:val="22"/>
                <w:szCs w:val="22"/>
                <w:u w:val="single"/>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Wymiana akumulatora przez użytkownika bez użycia narzędzi i wykonywania przeglądu technicznego, akumulator gotowy do pracy </w:t>
            </w:r>
            <w:r w:rsidRPr="00487EB6">
              <w:rPr>
                <w:rFonts w:ascii="Garamond" w:hAnsi="Garamond"/>
                <w:sz w:val="22"/>
                <w:szCs w:val="22"/>
              </w:rPr>
              <w:lastRenderedPageBreak/>
              <w:t>natychmiast po założeniu</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bCs/>
                <w:sz w:val="22"/>
                <w:szCs w:val="22"/>
                <w:lang w:eastAsia="en-US"/>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Czas pracy pompy przy zasilaniu akumulatorowym, dla szybkości dozowania 5 ml/godz. nie mniej niż 5 godzin</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Najdłuższy czas – 1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Inne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Niezależny wskaźnik stanu naładowania akumulatora pompy wyświetlający poziom naładowania/rozładowania akumulatora. </w:t>
            </w:r>
          </w:p>
          <w:p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b/>
                <w:sz w:val="22"/>
                <w:szCs w:val="22"/>
                <w:u w:val="single"/>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Wbudowany w pompie, system mocowania na szynie medycznej oraz na masztach infuzyjnych bez dodatkowo montowanych uchwytów lub z dodatkowo montowanymi uchwytami.(dla min. 15% pomp)</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bCs/>
                <w:sz w:val="22"/>
                <w:szCs w:val="22"/>
                <w:lang w:eastAsia="en-US"/>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Zatrzaskowy sposób mocowania pompy w stacji dokującej</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bCs/>
                <w:sz w:val="22"/>
                <w:szCs w:val="22"/>
                <w:lang w:eastAsia="en-US"/>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Manualne mocowanie w pompie lub automatyczne/mechaniczne mocowanie strzykawki w pompie</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b/>
                <w:sz w:val="22"/>
                <w:szCs w:val="22"/>
                <w:u w:val="single"/>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Ciężar urządzenia w [kg] nie więcej niż 2,4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b/>
                <w:sz w:val="22"/>
                <w:szCs w:val="22"/>
                <w:u w:val="single"/>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Duży, czytelny wyświetlacz wbudowany w pompie, z szerokim kątem widzenia z każdej strony, </w:t>
            </w:r>
            <w:proofErr w:type="spellStart"/>
            <w:r w:rsidRPr="00487EB6">
              <w:rPr>
                <w:rFonts w:ascii="Garamond" w:hAnsi="Garamond"/>
                <w:sz w:val="22"/>
                <w:szCs w:val="22"/>
              </w:rPr>
              <w:t>prfeferowany</w:t>
            </w:r>
            <w:proofErr w:type="spellEnd"/>
            <w:r w:rsidRPr="00487EB6">
              <w:rPr>
                <w:rFonts w:ascii="Garamond" w:hAnsi="Garamond"/>
                <w:sz w:val="22"/>
                <w:szCs w:val="22"/>
              </w:rPr>
              <w:t xml:space="preserve"> o największej powierzchni (w cm</w:t>
            </w:r>
            <w:r w:rsidRPr="00487EB6">
              <w:rPr>
                <w:rFonts w:ascii="Garamond" w:hAnsi="Garamond"/>
                <w:sz w:val="22"/>
                <w:szCs w:val="22"/>
                <w:vertAlign w:val="superscript"/>
              </w:rPr>
              <w:t>2</w:t>
            </w:r>
            <w:r w:rsidRPr="00487EB6">
              <w:rPr>
                <w:rFonts w:ascii="Garamond" w:hAnsi="Garamond"/>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ekran o największej powierzchni wyświetlacza – 1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lastRenderedPageBreak/>
              <w:t>inne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Historia zdarzeń, przechowywana w pamięci pompy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Największa liczba zdarzeń – 1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Inne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Praca ze strzykawkami o pojemności minimum od 5 do 50/60 ml</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Zakres szybkości przepływu w zakresie nie mniejszym niż od 0,1 do 1200 ml/</w:t>
            </w:r>
            <w:proofErr w:type="spellStart"/>
            <w:r w:rsidRPr="00487EB6">
              <w:rPr>
                <w:rFonts w:ascii="Garamond" w:hAnsi="Garamond"/>
                <w:sz w:val="22"/>
                <w:szCs w:val="22"/>
              </w:rPr>
              <w:t>godz</w:t>
            </w:r>
            <w:proofErr w:type="spellEnd"/>
            <w:r w:rsidRPr="00487EB6">
              <w:rPr>
                <w:rFonts w:ascii="Garamond" w:hAnsi="Garamond"/>
                <w:sz w:val="22"/>
                <w:szCs w:val="22"/>
              </w:rPr>
              <w:t xml:space="preserve"> dla strzykawki 50 ml</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Największa prędkość</w:t>
            </w:r>
            <w:r w:rsidR="00A545D4" w:rsidRPr="00487EB6">
              <w:rPr>
                <w:rFonts w:ascii="Garamond" w:hAnsi="Garamond"/>
                <w:sz w:val="22"/>
                <w:szCs w:val="22"/>
              </w:rPr>
              <w:t xml:space="preserve"> – 1 pkt.</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Inne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Objętość infuzji w zakresie nie mniejszym niż 0,1 do 999 ml</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Zmiana prędkości podaży leku w trakcie pracy bez konieczności wyłączenia pompy</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Praca co najmniej w następujących trybach: tylko szybkość dozowania w ml/</w:t>
            </w:r>
            <w:proofErr w:type="spellStart"/>
            <w:r w:rsidRPr="00487EB6">
              <w:rPr>
                <w:rFonts w:ascii="Garamond" w:hAnsi="Garamond"/>
                <w:sz w:val="22"/>
                <w:szCs w:val="22"/>
              </w:rPr>
              <w:t>godz</w:t>
            </w:r>
            <w:proofErr w:type="spellEnd"/>
            <w:r w:rsidRPr="00487EB6">
              <w:rPr>
                <w:rFonts w:ascii="Garamond" w:hAnsi="Garamond"/>
                <w:sz w:val="22"/>
                <w:szCs w:val="22"/>
              </w:rPr>
              <w:t>; szybkość dozowania + objętość infuzji do podania; objętość do podania + czas podaży</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automatyczne wyliczanie prędkości podaży)</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Programowanie parametrów infuzji w min. 3 jednostkach  w odniesieniu do czasu - wymienić</w:t>
            </w:r>
          </w:p>
          <w:p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Wybór trybów pracy po zakończeniu infuzji </w:t>
            </w:r>
            <w:r w:rsidRPr="00487EB6">
              <w:rPr>
                <w:rFonts w:ascii="Garamond" w:hAnsi="Garamond"/>
                <w:sz w:val="22"/>
                <w:szCs w:val="22"/>
              </w:rPr>
              <w:lastRenderedPageBreak/>
              <w:t>minimum: zatrzymanie infuzji, tryb KVO (utrzymanie drożności wlewu/naczynia), kontynuacja infuzji z poprzednią prędkością</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Tryb BOLUS z podaniem dawki uderzeniowej bez zatrzymania infuzji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automatyczny (</w:t>
            </w:r>
            <w:proofErr w:type="spellStart"/>
            <w:r w:rsidRPr="00487EB6">
              <w:rPr>
                <w:rFonts w:ascii="Garamond" w:hAnsi="Garamond"/>
                <w:sz w:val="22"/>
                <w:szCs w:val="22"/>
              </w:rPr>
              <w:t>hands</w:t>
            </w:r>
            <w:proofErr w:type="spellEnd"/>
            <w:r w:rsidRPr="00487EB6">
              <w:rPr>
                <w:rFonts w:ascii="Garamond" w:hAnsi="Garamond"/>
                <w:sz w:val="22"/>
                <w:szCs w:val="22"/>
              </w:rPr>
              <w:t xml:space="preserve"> </w:t>
            </w:r>
            <w:proofErr w:type="spellStart"/>
            <w:r w:rsidRPr="00487EB6">
              <w:rPr>
                <w:rFonts w:ascii="Garamond" w:hAnsi="Garamond"/>
                <w:sz w:val="22"/>
                <w:szCs w:val="22"/>
              </w:rPr>
              <w:t>free</w:t>
            </w:r>
            <w:proofErr w:type="spellEnd"/>
            <w:r w:rsidRPr="00487EB6">
              <w:rPr>
                <w:rFonts w:ascii="Garamond" w:hAnsi="Garamond"/>
                <w:sz w:val="22"/>
                <w:szCs w:val="22"/>
              </w:rPr>
              <w:t>) z konfigurowaną przez użytkownika prędkością podaży w zakresie min 10 – 1200 ml/h oraz objętością dawki w zakresie min 0,1 – 25 ml.</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 xml:space="preserve">Tak  - 0,5 pkt. </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ręczny (</w:t>
            </w:r>
            <w:proofErr w:type="spellStart"/>
            <w:r w:rsidRPr="00487EB6">
              <w:rPr>
                <w:rFonts w:ascii="Garamond" w:hAnsi="Garamond"/>
                <w:sz w:val="22"/>
                <w:szCs w:val="22"/>
              </w:rPr>
              <w:t>hands</w:t>
            </w:r>
            <w:proofErr w:type="spellEnd"/>
            <w:r w:rsidRPr="00487EB6">
              <w:rPr>
                <w:rFonts w:ascii="Garamond" w:hAnsi="Garamond"/>
                <w:sz w:val="22"/>
                <w:szCs w:val="22"/>
              </w:rPr>
              <w:t xml:space="preserve"> on) z konfigurowaną przez użytkownika prędkością podaży w zakresie min 10 – 1200 ml/h i kontrolą objętości podanego bolusa</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 xml:space="preserve">Tak  - 0,5 pkt. </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Automatyczna funkcja </w:t>
            </w:r>
            <w:proofErr w:type="spellStart"/>
            <w:r w:rsidRPr="00487EB6">
              <w:rPr>
                <w:rFonts w:ascii="Garamond" w:hAnsi="Garamond"/>
                <w:sz w:val="22"/>
                <w:szCs w:val="22"/>
              </w:rPr>
              <w:t>antybolus</w:t>
            </w:r>
            <w:proofErr w:type="spellEnd"/>
            <w:r w:rsidRPr="00487EB6">
              <w:rPr>
                <w:rFonts w:ascii="Garamond" w:hAnsi="Garamond"/>
                <w:sz w:val="22"/>
                <w:szCs w:val="22"/>
              </w:rPr>
              <w:t xml:space="preserve"> po okluzji czyli zabezpieczanie przed podaniem niekontrolowanego bolusa po alarmie okluzji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Funkcja szybkiego startu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Funkcja „</w:t>
            </w:r>
            <w:proofErr w:type="spellStart"/>
            <w:r w:rsidRPr="00487EB6">
              <w:rPr>
                <w:rFonts w:ascii="Garamond" w:hAnsi="Garamond"/>
                <w:sz w:val="22"/>
                <w:szCs w:val="22"/>
              </w:rPr>
              <w:t>back</w:t>
            </w:r>
            <w:proofErr w:type="spellEnd"/>
            <w:r w:rsidRPr="00487EB6">
              <w:rPr>
                <w:rFonts w:ascii="Garamond" w:hAnsi="Garamond"/>
                <w:sz w:val="22"/>
                <w:szCs w:val="22"/>
              </w:rPr>
              <w:t xml:space="preserve"> off” – automatycznego wycofania tłoka celem redukcji objętości bolusa w pełnym zakresie, po zwolnieniu okluzji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 xml:space="preserve">Tak  - 0,5 pkt. </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Biblioteka leków min 150 leków wraz z protokołami infuzji, min. 15 profili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Modyfikacja przez Użytkownika wybranego </w:t>
            </w:r>
            <w:r w:rsidRPr="00487EB6">
              <w:rPr>
                <w:rFonts w:ascii="Garamond" w:hAnsi="Garamond"/>
                <w:sz w:val="22"/>
                <w:szCs w:val="22"/>
              </w:rPr>
              <w:lastRenderedPageBreak/>
              <w:t>protokołu lekowego</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trike/>
                <w:sz w:val="22"/>
                <w:szCs w:val="22"/>
              </w:rPr>
            </w:pPr>
            <w:r w:rsidRPr="00487EB6">
              <w:rPr>
                <w:rFonts w:ascii="Garamond" w:hAnsi="Garamond"/>
                <w:sz w:val="22"/>
                <w:szCs w:val="22"/>
              </w:rPr>
              <w:t xml:space="preserve">Możliwość zaprogramowania parametrów infuzji dla pacjenta o ciężarze w zakresie &gt;= (250 g – 250 kg)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Wyświetlanie wybranej przez Użytkownika nazwy leku na ekranie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Równoczesne wyświetlanie na ekranie pompy nazwy leków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Wskaźnik wielkości okluzji, ustawianie granicy ciśnienia okluzji przed jak i w czasie infuzji bez jej przerywania, </w:t>
            </w:r>
          </w:p>
          <w:p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15 poziomów i więcej – 2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 xml:space="preserve">Mniejsze wartości – 0 </w:t>
            </w:r>
          </w:p>
          <w:p w:rsidR="00A545D4" w:rsidRPr="00487EB6" w:rsidRDefault="00A545D4" w:rsidP="000D5ED2">
            <w:pPr>
              <w:snapToGrid w:val="0"/>
              <w:spacing w:line="288" w:lineRule="auto"/>
              <w:jc w:val="center"/>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Czytelny wyświetlacz z możliwością wyświetlania min następujących informacji :</w:t>
            </w:r>
          </w:p>
          <w:p w:rsidR="00A545D4" w:rsidRPr="00487EB6" w:rsidRDefault="00A545D4" w:rsidP="000D5ED2">
            <w:pPr>
              <w:snapToGrid w:val="0"/>
              <w:spacing w:line="288" w:lineRule="auto"/>
              <w:rPr>
                <w:rFonts w:ascii="Garamond" w:hAnsi="Garamond"/>
                <w:sz w:val="22"/>
                <w:szCs w:val="22"/>
              </w:rPr>
            </w:pPr>
          </w:p>
          <w:p w:rsidR="00A545D4" w:rsidRPr="00487EB6" w:rsidRDefault="00A545D4" w:rsidP="000D5ED2">
            <w:pPr>
              <w:pStyle w:val="Akapitzlist"/>
              <w:numPr>
                <w:ilvl w:val="0"/>
                <w:numId w:val="15"/>
              </w:numPr>
              <w:suppressAutoHyphens/>
              <w:snapToGrid w:val="0"/>
              <w:spacing w:after="0" w:line="288" w:lineRule="auto"/>
              <w:rPr>
                <w:rFonts w:ascii="Garamond" w:hAnsi="Garamond"/>
              </w:rPr>
            </w:pPr>
            <w:r w:rsidRPr="00487EB6">
              <w:rPr>
                <w:rFonts w:ascii="Garamond" w:hAnsi="Garamond"/>
              </w:rPr>
              <w:t>Nazwa leku</w:t>
            </w:r>
          </w:p>
          <w:p w:rsidR="00A545D4" w:rsidRPr="00487EB6" w:rsidRDefault="00A545D4" w:rsidP="000D5ED2">
            <w:pPr>
              <w:pStyle w:val="Akapitzlist"/>
              <w:numPr>
                <w:ilvl w:val="0"/>
                <w:numId w:val="15"/>
              </w:numPr>
              <w:suppressAutoHyphens/>
              <w:snapToGrid w:val="0"/>
              <w:spacing w:after="0" w:line="288" w:lineRule="auto"/>
              <w:rPr>
                <w:rFonts w:ascii="Garamond" w:hAnsi="Garamond"/>
              </w:rPr>
            </w:pPr>
            <w:r w:rsidRPr="00487EB6">
              <w:rPr>
                <w:rFonts w:ascii="Garamond" w:hAnsi="Garamond"/>
              </w:rPr>
              <w:t>Prędkość infuzji</w:t>
            </w:r>
          </w:p>
          <w:p w:rsidR="00A545D4" w:rsidRPr="00487EB6" w:rsidRDefault="00A545D4" w:rsidP="000D5ED2">
            <w:pPr>
              <w:pStyle w:val="Akapitzlist"/>
              <w:numPr>
                <w:ilvl w:val="0"/>
                <w:numId w:val="15"/>
              </w:numPr>
              <w:suppressAutoHyphens/>
              <w:snapToGrid w:val="0"/>
              <w:spacing w:after="0" w:line="288" w:lineRule="auto"/>
              <w:rPr>
                <w:rFonts w:ascii="Garamond" w:hAnsi="Garamond"/>
              </w:rPr>
            </w:pPr>
            <w:r w:rsidRPr="00487EB6">
              <w:rPr>
                <w:rFonts w:ascii="Garamond" w:hAnsi="Garamond"/>
              </w:rPr>
              <w:t>Informacja o trwającej infuzji  w postaci piktogramu lub alfanumerycznych zapisów</w:t>
            </w:r>
          </w:p>
          <w:p w:rsidR="00A545D4" w:rsidRPr="00487EB6" w:rsidRDefault="00A545D4" w:rsidP="000D5ED2">
            <w:pPr>
              <w:pStyle w:val="Akapitzlist"/>
              <w:numPr>
                <w:ilvl w:val="0"/>
                <w:numId w:val="15"/>
              </w:numPr>
              <w:suppressAutoHyphens/>
              <w:snapToGrid w:val="0"/>
              <w:spacing w:after="0" w:line="288" w:lineRule="auto"/>
              <w:rPr>
                <w:rFonts w:ascii="Garamond" w:hAnsi="Garamond"/>
              </w:rPr>
            </w:pPr>
            <w:r w:rsidRPr="00487EB6">
              <w:rPr>
                <w:rFonts w:ascii="Garamond" w:hAnsi="Garamond"/>
              </w:rPr>
              <w:t xml:space="preserve">Czas pozostały do końca infuzji </w:t>
            </w:r>
          </w:p>
          <w:p w:rsidR="00A545D4" w:rsidRPr="00487EB6" w:rsidRDefault="00A545D4" w:rsidP="000D5ED2">
            <w:pPr>
              <w:pStyle w:val="Akapitzlist"/>
              <w:numPr>
                <w:ilvl w:val="0"/>
                <w:numId w:val="15"/>
              </w:numPr>
              <w:suppressAutoHyphens/>
              <w:snapToGrid w:val="0"/>
              <w:spacing w:after="0" w:line="288" w:lineRule="auto"/>
              <w:rPr>
                <w:rFonts w:ascii="Garamond" w:hAnsi="Garamond"/>
              </w:rPr>
            </w:pPr>
            <w:r w:rsidRPr="00487EB6">
              <w:rPr>
                <w:rFonts w:ascii="Garamond" w:hAnsi="Garamond"/>
              </w:rPr>
              <w:lastRenderedPageBreak/>
              <w:t xml:space="preserve">Informacja o stanie naładowania akumulatora </w:t>
            </w:r>
          </w:p>
          <w:p w:rsidR="00A545D4" w:rsidRPr="00487EB6" w:rsidRDefault="00A545D4" w:rsidP="000D5ED2">
            <w:pPr>
              <w:pStyle w:val="Akapitzlist"/>
              <w:numPr>
                <w:ilvl w:val="0"/>
                <w:numId w:val="15"/>
              </w:numPr>
              <w:suppressAutoHyphens/>
              <w:snapToGrid w:val="0"/>
              <w:spacing w:after="0" w:line="288" w:lineRule="auto"/>
              <w:rPr>
                <w:rFonts w:ascii="Garamond" w:hAnsi="Garamond"/>
              </w:rPr>
            </w:pPr>
            <w:r w:rsidRPr="00487EB6">
              <w:rPr>
                <w:rFonts w:ascii="Garamond" w:hAnsi="Garamond"/>
              </w:rPr>
              <w:t xml:space="preserve">Graficzny obraz stanu ciśnienia </w:t>
            </w:r>
          </w:p>
          <w:p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Funkcja Stand-By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Pompa gotowa do pracy w systemie zarządzającym infuzjami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b/>
                <w:sz w:val="22"/>
                <w:szCs w:val="22"/>
              </w:rPr>
            </w:pPr>
            <w:r w:rsidRPr="00487EB6">
              <w:rPr>
                <w:rFonts w:ascii="Garamond" w:hAnsi="Garamond"/>
                <w:b/>
                <w:sz w:val="22"/>
                <w:szCs w:val="22"/>
              </w:rPr>
              <w:t>Alarmy optyczne i akustyczne</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Dwustopniowe zróżnicowane akustyczne i optyczne (wizualne)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Okluzji z zatrzymaniem infuzji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Bliskiego końca infuzji </w:t>
            </w:r>
          </w:p>
          <w:p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Końca infuzji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Alarm przypominający zatrzymana infuzja</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Złego zamocowania strzykawki ze wskazaniem miejsca gdzie to nastąpiło lub w przypadku napędu automatycznego – komunikat nieznana strzykawka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uppressAutoHyphens w:val="0"/>
              <w:spacing w:after="200" w:line="288" w:lineRule="auto"/>
              <w:rPr>
                <w:rFonts w:ascii="Garamond" w:hAnsi="Garamond"/>
                <w:sz w:val="22"/>
                <w:szCs w:val="22"/>
              </w:rPr>
            </w:pPr>
            <w:r w:rsidRPr="00487EB6">
              <w:rPr>
                <w:rFonts w:ascii="Garamond" w:hAnsi="Garamond"/>
                <w:sz w:val="22"/>
                <w:szCs w:val="22"/>
              </w:rPr>
              <w:t>Alarm zbliżającego się rozładowania akumulatora</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Rozładowania baterii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Możliwość łączenia i zasilania jednym przewodem pompy w moduły min po 2 pompy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Mechanizm blokujący tłok zapobiegający samoczynnemu opróżnianiu strzykawki,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Funkcja programowania czasu infuzji przynajmniej od min. 1 – 96 godzin</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lang w:eastAsia="en-US"/>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cstheme="minorBidi"/>
                <w:sz w:val="22"/>
                <w:szCs w:val="22"/>
              </w:rPr>
            </w:pPr>
            <w:r w:rsidRPr="00487EB6">
              <w:rPr>
                <w:rFonts w:ascii="Garamond" w:hAnsi="Garamond"/>
                <w:sz w:val="22"/>
                <w:szCs w:val="22"/>
              </w:rPr>
              <w:t xml:space="preserve">Tak </w:t>
            </w:r>
            <w:r w:rsidR="007D6AE5" w:rsidRPr="00487EB6">
              <w:rPr>
                <w:rFonts w:ascii="Garamond" w:hAnsi="Garamond"/>
                <w:sz w:val="22"/>
                <w:szCs w:val="22"/>
              </w:rPr>
              <w:t xml:space="preserve">- </w:t>
            </w:r>
            <w:r w:rsidRPr="00487EB6">
              <w:rPr>
                <w:rFonts w:ascii="Garamond" w:hAnsi="Garamond"/>
                <w:sz w:val="22"/>
                <w:szCs w:val="22"/>
              </w:rPr>
              <w:t>0,5 pkt</w:t>
            </w:r>
          </w:p>
          <w:p w:rsidR="00A545D4" w:rsidRPr="00487EB6" w:rsidRDefault="00A545D4" w:rsidP="000D5ED2">
            <w:pPr>
              <w:spacing w:line="288" w:lineRule="auto"/>
              <w:jc w:val="both"/>
              <w:rPr>
                <w:rFonts w:ascii="Garamond" w:hAnsi="Garamond"/>
                <w:sz w:val="22"/>
                <w:szCs w:val="22"/>
                <w:lang w:eastAsia="en-US"/>
              </w:rPr>
            </w:pPr>
            <w:r w:rsidRPr="00487EB6">
              <w:rPr>
                <w:rFonts w:ascii="Garamond" w:hAnsi="Garamond"/>
                <w:sz w:val="22"/>
                <w:szCs w:val="22"/>
              </w:rPr>
              <w:t xml:space="preserve">Nie </w:t>
            </w:r>
            <w:r w:rsidR="007D6AE5" w:rsidRPr="00487EB6">
              <w:rPr>
                <w:rFonts w:ascii="Garamond" w:hAnsi="Garamond"/>
                <w:sz w:val="22"/>
                <w:szCs w:val="22"/>
              </w:rPr>
              <w:t xml:space="preserve">- </w:t>
            </w:r>
            <w:r w:rsidRPr="00487EB6">
              <w:rPr>
                <w:rFonts w:ascii="Garamond" w:hAnsi="Garamond"/>
                <w:sz w:val="22"/>
                <w:szCs w:val="22"/>
              </w:rPr>
              <w:t>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Czujnik zmian ciśnienia w linii , wykrywający wzrost i spadek , bez konieczności użycia specjalnych drenów lub system dynamicznego ciągłego pomiaru ciśnienia (np. DPS – </w:t>
            </w:r>
            <w:proofErr w:type="spellStart"/>
            <w:r w:rsidRPr="00487EB6">
              <w:rPr>
                <w:rFonts w:ascii="Garamond" w:hAnsi="Garamond"/>
                <w:sz w:val="22"/>
                <w:szCs w:val="22"/>
              </w:rPr>
              <w:t>Dynamic</w:t>
            </w:r>
            <w:proofErr w:type="spellEnd"/>
            <w:r w:rsidRPr="00487EB6">
              <w:rPr>
                <w:rFonts w:ascii="Garamond" w:hAnsi="Garamond"/>
                <w:sz w:val="22"/>
                <w:szCs w:val="22"/>
              </w:rPr>
              <w:t xml:space="preserve"> </w:t>
            </w:r>
            <w:proofErr w:type="spellStart"/>
            <w:r w:rsidRPr="00487EB6">
              <w:rPr>
                <w:rFonts w:ascii="Garamond" w:hAnsi="Garamond"/>
                <w:sz w:val="22"/>
                <w:szCs w:val="22"/>
              </w:rPr>
              <w:t>Pressure</w:t>
            </w:r>
            <w:proofErr w:type="spellEnd"/>
            <w:r w:rsidRPr="00487EB6">
              <w:rPr>
                <w:rFonts w:ascii="Garamond" w:hAnsi="Garamond"/>
                <w:sz w:val="22"/>
                <w:szCs w:val="22"/>
              </w:rPr>
              <w:t xml:space="preserve"> System) w linii , stale monitorujący jego wartość  bez konieczności użycia  specjalnych drenów</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Praca pompy w trybie płynnego, automatycznego przejęcia infuzji przez drugą pompę, natychmiast po zakończeniu infuzji w pierwszej</w:t>
            </w:r>
          </w:p>
          <w:p w:rsidR="00A545D4" w:rsidRPr="00487EB6" w:rsidRDefault="00A545D4" w:rsidP="000D5ED2">
            <w:pPr>
              <w:snapToGrid w:val="0"/>
              <w:spacing w:line="288" w:lineRule="auto"/>
              <w:rPr>
                <w:rFonts w:ascii="Garamond" w:hAnsi="Garamond"/>
                <w:sz w:val="22"/>
                <w:szCs w:val="22"/>
              </w:rPr>
            </w:pPr>
          </w:p>
          <w:p w:rsidR="00A545D4" w:rsidRPr="00487EB6" w:rsidRDefault="00A545D4" w:rsidP="000D5ED2">
            <w:pPr>
              <w:snapToGrid w:val="0"/>
              <w:spacing w:line="288" w:lineRule="auto"/>
              <w:rPr>
                <w:rFonts w:ascii="Garamond" w:hAnsi="Garamond"/>
                <w:sz w:val="22"/>
                <w:szCs w:val="22"/>
              </w:rPr>
            </w:pP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Uwaga - Zamawiający uznaje za wystarczające spełnienie parametru płynnego przejęcia infuzji przez drugą pompę, pozostawioną w gotowości z włączoną funkcją stand-by bez limitu czasowego</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Tak</w:t>
            </w:r>
            <w:r w:rsidR="007D6AE5" w:rsidRPr="00487EB6">
              <w:rPr>
                <w:rFonts w:ascii="Garamond" w:hAnsi="Garamond"/>
                <w:sz w:val="22"/>
                <w:szCs w:val="22"/>
              </w:rPr>
              <w:t xml:space="preserve"> </w:t>
            </w:r>
            <w:r w:rsidRPr="00487EB6">
              <w:rPr>
                <w:rFonts w:ascii="Garamond" w:hAnsi="Garamond"/>
                <w:sz w:val="22"/>
                <w:szCs w:val="22"/>
              </w:rPr>
              <w:t>-1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Nie</w:t>
            </w:r>
            <w:r w:rsidR="007D6AE5" w:rsidRPr="00487EB6">
              <w:rPr>
                <w:rFonts w:ascii="Garamond" w:hAnsi="Garamond"/>
                <w:sz w:val="22"/>
                <w:szCs w:val="22"/>
              </w:rPr>
              <w:t xml:space="preserve"> </w:t>
            </w:r>
            <w:r w:rsidRPr="00487EB6">
              <w:rPr>
                <w:rFonts w:ascii="Garamond" w:hAnsi="Garamond"/>
                <w:sz w:val="22"/>
                <w:szCs w:val="22"/>
              </w:rPr>
              <w:t>-</w:t>
            </w:r>
            <w:r w:rsidR="007D6AE5" w:rsidRPr="00487EB6">
              <w:rPr>
                <w:rFonts w:ascii="Garamond" w:hAnsi="Garamond"/>
                <w:sz w:val="22"/>
                <w:szCs w:val="22"/>
              </w:rPr>
              <w:t xml:space="preserve"> </w:t>
            </w:r>
            <w:r w:rsidRPr="00487EB6">
              <w:rPr>
                <w:rFonts w:ascii="Garamond" w:hAnsi="Garamond"/>
                <w:sz w:val="22"/>
                <w:szCs w:val="22"/>
              </w:rPr>
              <w:t>0pkt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Objętość zajmowana przez pojedynczą pompę [cm3]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Najmniejsza – 1 pkt, pozostałe -0 pkt</w:t>
            </w:r>
          </w:p>
        </w:tc>
      </w:tr>
      <w:tr w:rsidR="001E5F9F"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E5F9F" w:rsidRPr="00487EB6" w:rsidRDefault="001E5F9F"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E5F9F" w:rsidRPr="00487EB6" w:rsidRDefault="00F50EDC" w:rsidP="000D5ED2">
            <w:pPr>
              <w:snapToGrid w:val="0"/>
              <w:spacing w:line="288" w:lineRule="auto"/>
              <w:rPr>
                <w:rFonts w:ascii="Garamond" w:hAnsi="Garamond"/>
                <w:b/>
                <w:sz w:val="22"/>
                <w:szCs w:val="22"/>
              </w:rPr>
            </w:pPr>
            <w:r w:rsidRPr="00487EB6">
              <w:rPr>
                <w:rFonts w:ascii="Garamond" w:hAnsi="Garamond"/>
                <w:sz w:val="22"/>
                <w:szCs w:val="22"/>
              </w:rPr>
              <w:t>Dreny do oferowanej pompy</w:t>
            </w:r>
          </w:p>
        </w:tc>
        <w:tc>
          <w:tcPr>
            <w:tcW w:w="1984" w:type="dxa"/>
            <w:tcBorders>
              <w:top w:val="single" w:sz="4" w:space="0" w:color="auto"/>
              <w:left w:val="single" w:sz="4" w:space="0" w:color="auto"/>
              <w:bottom w:val="single" w:sz="4" w:space="0" w:color="auto"/>
              <w:right w:val="single" w:sz="4" w:space="0" w:color="auto"/>
            </w:tcBorders>
            <w:vAlign w:val="center"/>
          </w:tcPr>
          <w:p w:rsidR="001E5F9F" w:rsidRPr="00487EB6" w:rsidRDefault="0090492E" w:rsidP="000D5ED2">
            <w:pPr>
              <w:snapToGrid w:val="0"/>
              <w:spacing w:line="288" w:lineRule="auto"/>
              <w:jc w:val="center"/>
              <w:rPr>
                <w:rFonts w:ascii="Garamond" w:hAnsi="Garamond"/>
                <w:sz w:val="22"/>
                <w:szCs w:val="22"/>
              </w:rPr>
            </w:pPr>
            <w:r>
              <w:rPr>
                <w:rFonts w:ascii="Garamond" w:hAnsi="Garamond"/>
                <w:sz w:val="22"/>
                <w:szCs w:val="22"/>
              </w:rPr>
              <w:t xml:space="preserve">Tak, </w:t>
            </w:r>
            <w:r w:rsidR="00F50EDC" w:rsidRPr="00487EB6">
              <w:rPr>
                <w:rFonts w:ascii="Garamond" w:hAnsi="Garamond"/>
                <w:sz w:val="22"/>
                <w:szCs w:val="22"/>
              </w:rPr>
              <w:t>Szt.2000</w:t>
            </w:r>
          </w:p>
        </w:tc>
        <w:tc>
          <w:tcPr>
            <w:tcW w:w="4535" w:type="dxa"/>
            <w:tcBorders>
              <w:top w:val="single" w:sz="4" w:space="0" w:color="auto"/>
              <w:left w:val="single" w:sz="4" w:space="0" w:color="auto"/>
              <w:bottom w:val="single" w:sz="4" w:space="0" w:color="auto"/>
              <w:right w:val="single" w:sz="4" w:space="0" w:color="auto"/>
            </w:tcBorders>
            <w:vAlign w:val="center"/>
          </w:tcPr>
          <w:p w:rsidR="001E5F9F" w:rsidRPr="00487EB6" w:rsidRDefault="001E5F9F"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E5F9F" w:rsidRPr="00487EB6" w:rsidRDefault="001E5F9F" w:rsidP="000D5ED2">
            <w:pPr>
              <w:snapToGrid w:val="0"/>
              <w:spacing w:line="288" w:lineRule="auto"/>
              <w:jc w:val="both"/>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b/>
                <w:sz w:val="22"/>
                <w:szCs w:val="22"/>
              </w:rPr>
              <w:t xml:space="preserve">Pompy </w:t>
            </w:r>
            <w:proofErr w:type="spellStart"/>
            <w:r w:rsidRPr="00487EB6">
              <w:rPr>
                <w:rFonts w:ascii="Garamond" w:hAnsi="Garamond"/>
                <w:b/>
                <w:sz w:val="22"/>
                <w:szCs w:val="22"/>
              </w:rPr>
              <w:t>strzykawkowe</w:t>
            </w:r>
            <w:proofErr w:type="spellEnd"/>
            <w:r w:rsidRPr="00487EB6">
              <w:rPr>
                <w:rFonts w:ascii="Garamond" w:hAnsi="Garamond"/>
                <w:b/>
                <w:sz w:val="22"/>
                <w:szCs w:val="22"/>
              </w:rPr>
              <w:t xml:space="preserve"> (biblioteka leków, pomiar w linii) – 65 szt.</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Oferowane urządzenia muszą spełniać normę EN 60601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Zabezpieczenie pompy przed przypadkowym zalaniem układów mechaniki i elektroniki, podać stopień ochrony IP – wymagany nie mniej niż IP 22</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Wymiana akumulatora przez użytkownika bez użycia narzędzi i wykonywania przeglądu technicznego, akumulator gotowy do pracy natychmiast po założeniu</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Czas pracy pompy przy zasilaniu akumulatorowym, dla szybkości dozowania 5 ml/godz. nie mniej niż 5 godzin</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najdłuższy czas – 1 pkt. </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pozostałe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Niezależny wskaźnik stanu naładowania akumulatora pompy wyświetlający poziom naładowania/rozładowania akumulatora.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Zatrzaskowy sposób mocowania pompy w stacji </w:t>
            </w:r>
            <w:r w:rsidRPr="00487EB6">
              <w:rPr>
                <w:rFonts w:ascii="Garamond" w:hAnsi="Garamond"/>
                <w:sz w:val="22"/>
                <w:szCs w:val="22"/>
              </w:rPr>
              <w:lastRenderedPageBreak/>
              <w:t>dokującej</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Manualne mocowanie w pompie lub </w:t>
            </w:r>
            <w:proofErr w:type="spellStart"/>
            <w:r w:rsidRPr="00487EB6">
              <w:rPr>
                <w:rFonts w:ascii="Garamond" w:hAnsi="Garamond"/>
                <w:sz w:val="22"/>
                <w:szCs w:val="22"/>
              </w:rPr>
              <w:t>auitomatyczne</w:t>
            </w:r>
            <w:proofErr w:type="spellEnd"/>
            <w:r w:rsidRPr="00487EB6">
              <w:rPr>
                <w:rFonts w:ascii="Garamond" w:hAnsi="Garamond"/>
                <w:sz w:val="22"/>
                <w:szCs w:val="22"/>
              </w:rPr>
              <w:t>/mechaniczne mocowanie strzykawki w pompie</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Ciężar urządzenia (pompy) w [kg] nie więcej niż 2,4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najniższy ciężar – 1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pozostałe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Duży, czytelny wyświetlacz wbudowany w pompie, z szerokim kątem widzenia z każdej strony, o największej powierzchni (cm2)</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Rejestr 24 godzinny, umożliwiający przegląd 24 godzinnego rejestru objętości płynów podanych we wlewie</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Praca ze strzykawkami o pojemności minimum od 5 do 50/60 ml</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Zakres szybkości przepływu w zakresie nie mniejszym niż od 0,1 do 1200 ml/</w:t>
            </w:r>
            <w:proofErr w:type="spellStart"/>
            <w:r w:rsidRPr="00487EB6">
              <w:rPr>
                <w:rFonts w:ascii="Garamond" w:hAnsi="Garamond"/>
                <w:sz w:val="22"/>
                <w:szCs w:val="22"/>
              </w:rPr>
              <w:t>godz</w:t>
            </w:r>
            <w:proofErr w:type="spellEnd"/>
            <w:r w:rsidRPr="00487EB6">
              <w:rPr>
                <w:rFonts w:ascii="Garamond" w:hAnsi="Garamond"/>
                <w:sz w:val="22"/>
                <w:szCs w:val="22"/>
              </w:rPr>
              <w:t xml:space="preserve"> dla strzykawki 50 ml</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Największa prędkość – 0,5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Pozostałe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Objętość infuzji w zakresie nie mniejszym niż 0,1 do 999 ml</w:t>
            </w:r>
          </w:p>
          <w:p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Praca co najmniej w następujących trybach : tylko szybkość dozowania w ml/</w:t>
            </w:r>
            <w:proofErr w:type="spellStart"/>
            <w:r w:rsidRPr="00487EB6">
              <w:rPr>
                <w:rFonts w:ascii="Garamond" w:hAnsi="Garamond"/>
                <w:sz w:val="22"/>
                <w:szCs w:val="22"/>
              </w:rPr>
              <w:t>godz</w:t>
            </w:r>
            <w:proofErr w:type="spellEnd"/>
            <w:r w:rsidRPr="00487EB6">
              <w:rPr>
                <w:rFonts w:ascii="Garamond" w:hAnsi="Garamond"/>
                <w:sz w:val="22"/>
                <w:szCs w:val="22"/>
              </w:rPr>
              <w:t xml:space="preserve">; szybkość </w:t>
            </w:r>
            <w:r w:rsidRPr="00487EB6">
              <w:rPr>
                <w:rFonts w:ascii="Garamond" w:hAnsi="Garamond"/>
                <w:sz w:val="22"/>
                <w:szCs w:val="22"/>
              </w:rPr>
              <w:lastRenderedPageBreak/>
              <w:t>dozowania + objętość infuzji do podania; objętość do podania + czas podaży</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automatyczne wyliczanie prędkości podaży)</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Programowanie parametrów infuzji w min. 3 jednostkach  w odniesieniu do czasu - wymienić</w:t>
            </w:r>
          </w:p>
          <w:p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Dozowanie w jednostkach masy w stosunku do czasu infuzji oraz w jednostkach masy w stosunku od ciężaru ciała pacjenta i czasu infuzji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Dozowanie z prędkością wyliczoną na podstawie objętości i czasu, w którym dawka ma być podana</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Wybór trybów pracy po zakończeniu infuzji minimum: zatrzymanie infuzji, tryb KVO (utrzymanie drożności wlewu/naczynia), kontynuacja infuzji z poprzednią prędkością</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Tryb BOLUS z podaniem dawki uderzeniowej bez zatrzymania infuzji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Funkcja szybkiego startu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Funkcja „</w:t>
            </w:r>
            <w:proofErr w:type="spellStart"/>
            <w:r w:rsidRPr="00487EB6">
              <w:rPr>
                <w:rFonts w:ascii="Garamond" w:hAnsi="Garamond"/>
                <w:sz w:val="22"/>
                <w:szCs w:val="22"/>
              </w:rPr>
              <w:t>back</w:t>
            </w:r>
            <w:proofErr w:type="spellEnd"/>
            <w:r w:rsidRPr="00487EB6">
              <w:rPr>
                <w:rFonts w:ascii="Garamond" w:hAnsi="Garamond"/>
                <w:sz w:val="22"/>
                <w:szCs w:val="22"/>
              </w:rPr>
              <w:t xml:space="preserve"> off” – automatycznego wycofania tłoka celem redukcji objętości bolusa w pełnym zakresie, po zwolnieniu okluzji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 xml:space="preserve">Tak  - 0,5 pkt. </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Podział leków w bibliotece na profile (rodzaj </w:t>
            </w:r>
            <w:r w:rsidRPr="00487EB6">
              <w:rPr>
                <w:rFonts w:ascii="Garamond" w:hAnsi="Garamond"/>
                <w:sz w:val="22"/>
                <w:szCs w:val="22"/>
              </w:rPr>
              <w:lastRenderedPageBreak/>
              <w:t xml:space="preserve">pacjenta lub oddział/pododdział) z możliwością umieszczenia tego samego leku w różnych profilach – minimum 15 profili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Modyfikacja przez Użytkownika wybranego protokołu lekowego</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Programowanie parametrów infuzji dla pacjenta o ciężarze w zakresie &gt;= (250 g – 250 kg) </w:t>
            </w:r>
          </w:p>
          <w:p w:rsidR="00A545D4" w:rsidRPr="00487EB6" w:rsidRDefault="00A545D4" w:rsidP="000D5ED2">
            <w:pPr>
              <w:snapToGrid w:val="0"/>
              <w:spacing w:line="288" w:lineRule="auto"/>
              <w:rPr>
                <w:rFonts w:ascii="Garamond" w:hAnsi="Garamond"/>
                <w:sz w:val="22"/>
                <w:szCs w:val="22"/>
              </w:rPr>
            </w:pPr>
          </w:p>
          <w:p w:rsidR="00A545D4" w:rsidRPr="00487EB6" w:rsidRDefault="00A545D4" w:rsidP="000D5ED2">
            <w:pPr>
              <w:snapToGrid w:val="0"/>
              <w:spacing w:line="288" w:lineRule="auto"/>
              <w:rPr>
                <w:rFonts w:ascii="Garamond" w:hAnsi="Garamond"/>
                <w:sz w:val="22"/>
                <w:szCs w:val="22"/>
              </w:rPr>
            </w:pPr>
          </w:p>
          <w:p w:rsidR="00A545D4" w:rsidRPr="00487EB6" w:rsidRDefault="00A545D4" w:rsidP="000D5ED2">
            <w:pPr>
              <w:snapToGrid w:val="0"/>
              <w:spacing w:line="288" w:lineRule="auto"/>
              <w:rPr>
                <w:rFonts w:ascii="Garamond" w:hAnsi="Garamond"/>
                <w:strike/>
                <w:sz w:val="22"/>
                <w:szCs w:val="22"/>
              </w:rPr>
            </w:pPr>
            <w:r w:rsidRPr="00487EB6">
              <w:rPr>
                <w:rFonts w:ascii="Garamond" w:hAnsi="Garamond"/>
                <w:strike/>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Możliwość  wyświetlenia na ekranie pompy nazwy leków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Bezpośredni pomiar ciśnienia w linii infuzyjnej (z użyciem lub bez użycia specjalnych drenów)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pomiar (między strzykawką a pacjentem) z dokładnością co 1 mm Hg w zakresie 1-1000 mmHg) – 3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inne rozwiązania – 1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brak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Wskaźnik wielkości okluzji, ustawianie granicy ciśnienia okluzji przed jak i w czasie infuzji bez jej przerywania, </w:t>
            </w:r>
          </w:p>
          <w:p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15 poziomów i więcej – 2 pkt.</w:t>
            </w:r>
          </w:p>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 xml:space="preserve">Mniejsze wartości – 0 </w:t>
            </w:r>
          </w:p>
          <w:p w:rsidR="00A545D4" w:rsidRPr="00487EB6" w:rsidRDefault="00A545D4" w:rsidP="000D5ED2">
            <w:pPr>
              <w:snapToGrid w:val="0"/>
              <w:spacing w:line="288" w:lineRule="auto"/>
              <w:jc w:val="center"/>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Prezentacja trendów ciśnienia, wyświetlanych na ekranie pompy lub wskazanie aktualnego ciśnienia w linii w czasie rzeczywistym</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Czytelny wyświetlacz z możliwością wyświetlania min następujących informacji :</w:t>
            </w:r>
          </w:p>
          <w:p w:rsidR="00A545D4" w:rsidRPr="00487EB6" w:rsidRDefault="00A545D4" w:rsidP="000D5ED2">
            <w:pPr>
              <w:snapToGrid w:val="0"/>
              <w:spacing w:line="288" w:lineRule="auto"/>
              <w:rPr>
                <w:rFonts w:ascii="Garamond" w:hAnsi="Garamond"/>
                <w:sz w:val="22"/>
                <w:szCs w:val="22"/>
              </w:rPr>
            </w:pP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Nazwa leku</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Prędkość infuzji</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Informacja o trwającej infuzji  w postaci piktogramu lub alfanumerycznych zapisów</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Czas pozostały do końca infuzji </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Informacja o stanie naładowania akumulatora </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Graficzny obraz stanu ciśnienia </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Bez pkt</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Funkcja Stand-By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Pompa gotowa do pracy w systemie zarządzającym infuzjami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Alarmy</w:t>
            </w:r>
            <w:r w:rsidR="000D5ED2" w:rsidRPr="00487EB6">
              <w:rPr>
                <w:rFonts w:ascii="Garamond" w:hAnsi="Garamond"/>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Dwustopniowe zróżnicowane akustyczne i optyczne (wizualne)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Okluzji z zatrzymaniem infuzji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Bliskiego końca infuzji z możliwością regulacji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Końca infuzji,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O przejściu w tryb KVO, zatrzymania lub kontynuacji infuzji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Złego zamocowania strzykawki lub w przypadku napędu automatycznego – komunikat nieznana strzykawka</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Rozładowania baterii – na 30 minut przed jej wyczerpaniem lub pompa z  wstępnym alarmem rozładowania akumulatora  w trybie średniego priorytetu oraz alarmem rozładowania akumulatora – na 5  minut  przed jego wyczerpaniem w trybie wysokiego priorytetu  alarmu</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Rozładowania baterii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Sygnalizacja wahań ciśnienia w linii. Pozwalająca przewidzieć niebezpieczeństwo pojawienia się okluzji lub nieszczelności</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eastAsia="Batang" w:hAnsi="Garamond"/>
                <w:sz w:val="22"/>
                <w:szCs w:val="22"/>
              </w:rPr>
            </w:pPr>
            <w:r w:rsidRPr="00487EB6">
              <w:rPr>
                <w:rFonts w:ascii="Garamond" w:hAnsi="Garamond"/>
                <w:sz w:val="22"/>
                <w:szCs w:val="22"/>
              </w:rPr>
              <w:t>Łączenie i zasilanie jednym przewodem pompy w moduły min po 2 pompy</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eastAsia="Batang" w:hAnsi="Garamond"/>
                <w:sz w:val="22"/>
                <w:szCs w:val="22"/>
              </w:rPr>
            </w:pPr>
            <w:r w:rsidRPr="00487EB6">
              <w:rPr>
                <w:rFonts w:ascii="Garamond" w:hAnsi="Garamond"/>
                <w:sz w:val="22"/>
                <w:szCs w:val="22"/>
              </w:rPr>
              <w:t xml:space="preserve">Mechanizm blokujący tłok zapobiegający samoczynnemu opróżnianiu strzykawki, </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eastAsia="Batang" w:hAnsi="Garamond"/>
                <w:sz w:val="22"/>
                <w:szCs w:val="22"/>
              </w:rPr>
            </w:pPr>
            <w:r w:rsidRPr="00487EB6">
              <w:rPr>
                <w:rFonts w:ascii="Garamond" w:hAnsi="Garamond"/>
                <w:sz w:val="22"/>
                <w:szCs w:val="22"/>
              </w:rPr>
              <w:t xml:space="preserve">Funkcja programowania czasu infuzji </w:t>
            </w:r>
            <w:r w:rsidRPr="00487EB6">
              <w:rPr>
                <w:rFonts w:ascii="Garamond" w:hAnsi="Garamond"/>
                <w:sz w:val="22"/>
                <w:szCs w:val="22"/>
              </w:rPr>
              <w:lastRenderedPageBreak/>
              <w:t>przynajmniej od min. 1– 96 godzin</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Czujnik zmian ciśnienia w linii , wykrywający wzrost i spadek , bez konieczności użycia specjalnych drenów</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Praca pompy w trybie płynnego, automatycznego przejęcia infuzji przez drugą pompę, natychmiast po zakończeniu infuzji w pierwszej</w:t>
            </w:r>
          </w:p>
          <w:p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Uwaga - Zamawiający uznaje za wystarczające spełnienie parametru płynnego przejęcia infuzji przez drugą pompę, pozostawioną w gotowości z włączoną funkcją stand-by bez limitu czasowego</w:t>
            </w:r>
          </w:p>
        </w:tc>
        <w:tc>
          <w:tcPr>
            <w:tcW w:w="1984"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Tak</w:t>
            </w:r>
            <w:r w:rsidR="007D6AE5" w:rsidRPr="00487EB6">
              <w:rPr>
                <w:rFonts w:ascii="Garamond" w:hAnsi="Garamond"/>
                <w:sz w:val="22"/>
                <w:szCs w:val="22"/>
              </w:rPr>
              <w:t xml:space="preserve"> </w:t>
            </w:r>
            <w:r w:rsidRPr="00487EB6">
              <w:rPr>
                <w:rFonts w:ascii="Garamond" w:hAnsi="Garamond"/>
                <w:sz w:val="22"/>
                <w:szCs w:val="22"/>
              </w:rPr>
              <w:t>-</w:t>
            </w:r>
            <w:r w:rsidR="007D6AE5" w:rsidRPr="00487EB6">
              <w:rPr>
                <w:rFonts w:ascii="Garamond" w:hAnsi="Garamond"/>
                <w:sz w:val="22"/>
                <w:szCs w:val="22"/>
              </w:rPr>
              <w:t xml:space="preserve"> </w:t>
            </w:r>
            <w:r w:rsidRPr="00487EB6">
              <w:rPr>
                <w:rFonts w:ascii="Garamond" w:hAnsi="Garamond"/>
                <w:sz w:val="22"/>
                <w:szCs w:val="22"/>
              </w:rPr>
              <w:t>1 pkt</w:t>
            </w:r>
          </w:p>
          <w:p w:rsidR="00A545D4" w:rsidRPr="00487EB6" w:rsidRDefault="00A545D4" w:rsidP="000D5ED2">
            <w:pPr>
              <w:snapToGrid w:val="0"/>
              <w:spacing w:line="288" w:lineRule="auto"/>
              <w:jc w:val="both"/>
              <w:rPr>
                <w:rFonts w:ascii="Garamond" w:hAnsi="Garamond"/>
                <w:sz w:val="22"/>
                <w:szCs w:val="22"/>
              </w:rPr>
            </w:pPr>
            <w:r w:rsidRPr="00487EB6">
              <w:rPr>
                <w:rFonts w:ascii="Garamond" w:hAnsi="Garamond"/>
                <w:sz w:val="22"/>
                <w:szCs w:val="22"/>
              </w:rPr>
              <w:t>Nie</w:t>
            </w:r>
            <w:r w:rsidR="007D6AE5" w:rsidRPr="00487EB6">
              <w:rPr>
                <w:rFonts w:ascii="Garamond" w:hAnsi="Garamond"/>
                <w:sz w:val="22"/>
                <w:szCs w:val="22"/>
              </w:rPr>
              <w:t xml:space="preserve"> </w:t>
            </w:r>
            <w:r w:rsidRPr="00487EB6">
              <w:rPr>
                <w:rFonts w:ascii="Garamond" w:hAnsi="Garamond"/>
                <w:sz w:val="22"/>
                <w:szCs w:val="22"/>
              </w:rPr>
              <w:t>-</w:t>
            </w:r>
            <w:r w:rsidR="007D6AE5" w:rsidRPr="00487EB6">
              <w:rPr>
                <w:rFonts w:ascii="Garamond" w:hAnsi="Garamond"/>
                <w:sz w:val="22"/>
                <w:szCs w:val="22"/>
              </w:rPr>
              <w:t xml:space="preserve"> </w:t>
            </w:r>
            <w:r w:rsidRPr="00487EB6">
              <w:rPr>
                <w:rFonts w:ascii="Garamond" w:hAnsi="Garamond"/>
                <w:sz w:val="22"/>
                <w:szCs w:val="22"/>
              </w:rPr>
              <w:t>0pkt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0463EA" w:rsidRPr="00487EB6" w:rsidRDefault="000463EA"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0463EA" w:rsidRPr="00487EB6" w:rsidRDefault="000463EA" w:rsidP="000D5ED2">
            <w:pPr>
              <w:snapToGrid w:val="0"/>
              <w:spacing w:line="288" w:lineRule="auto"/>
              <w:rPr>
                <w:rFonts w:ascii="Garamond" w:hAnsi="Garamond"/>
                <w:sz w:val="22"/>
                <w:szCs w:val="22"/>
              </w:rPr>
            </w:pPr>
            <w:r w:rsidRPr="00487EB6">
              <w:rPr>
                <w:rFonts w:ascii="Garamond" w:hAnsi="Garamond"/>
                <w:sz w:val="22"/>
                <w:szCs w:val="22"/>
              </w:rPr>
              <w:t xml:space="preserve">Objętość zajmowana przez pojedynczą pompę [cm3] </w:t>
            </w:r>
          </w:p>
        </w:tc>
        <w:tc>
          <w:tcPr>
            <w:tcW w:w="1984" w:type="dxa"/>
            <w:tcBorders>
              <w:top w:val="single" w:sz="4" w:space="0" w:color="auto"/>
              <w:left w:val="single" w:sz="4" w:space="0" w:color="auto"/>
              <w:bottom w:val="single" w:sz="4" w:space="0" w:color="auto"/>
              <w:right w:val="single" w:sz="4" w:space="0" w:color="auto"/>
            </w:tcBorders>
            <w:vAlign w:val="center"/>
          </w:tcPr>
          <w:p w:rsidR="000463EA" w:rsidRPr="00487EB6" w:rsidRDefault="000463EA"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0463EA" w:rsidRPr="00487EB6" w:rsidRDefault="000463EA"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0463EA" w:rsidRPr="00487EB6" w:rsidRDefault="000463EA" w:rsidP="000D5ED2">
            <w:pPr>
              <w:snapToGrid w:val="0"/>
              <w:spacing w:line="288" w:lineRule="auto"/>
              <w:jc w:val="both"/>
              <w:rPr>
                <w:rFonts w:ascii="Garamond" w:hAnsi="Garamond"/>
                <w:sz w:val="22"/>
                <w:szCs w:val="22"/>
              </w:rPr>
            </w:pPr>
            <w:r w:rsidRPr="00487EB6">
              <w:rPr>
                <w:rFonts w:ascii="Garamond" w:hAnsi="Garamond"/>
                <w:sz w:val="22"/>
                <w:szCs w:val="22"/>
              </w:rPr>
              <w:t>Najmniejsza – 1 pkt, pozostałe -0 pkt</w:t>
            </w:r>
          </w:p>
        </w:tc>
      </w:tr>
      <w:tr w:rsidR="00745EB6"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745EB6" w:rsidRPr="00487EB6" w:rsidRDefault="00745EB6"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5EB6" w:rsidRPr="00487EB6" w:rsidRDefault="006F6F88" w:rsidP="000D5ED2">
            <w:pPr>
              <w:snapToGrid w:val="0"/>
              <w:spacing w:line="288" w:lineRule="auto"/>
              <w:rPr>
                <w:rFonts w:ascii="Garamond" w:hAnsi="Garamond"/>
                <w:b/>
                <w:sz w:val="22"/>
                <w:szCs w:val="22"/>
              </w:rPr>
            </w:pPr>
            <w:r w:rsidRPr="00487EB6">
              <w:rPr>
                <w:rFonts w:ascii="Garamond" w:hAnsi="Garamond"/>
                <w:sz w:val="22"/>
                <w:szCs w:val="22"/>
              </w:rPr>
              <w:t>Dreny do oferowanej pompy</w:t>
            </w:r>
          </w:p>
        </w:tc>
        <w:tc>
          <w:tcPr>
            <w:tcW w:w="1984" w:type="dxa"/>
            <w:tcBorders>
              <w:top w:val="single" w:sz="4" w:space="0" w:color="auto"/>
              <w:left w:val="single" w:sz="4" w:space="0" w:color="auto"/>
              <w:bottom w:val="single" w:sz="4" w:space="0" w:color="auto"/>
              <w:right w:val="single" w:sz="4" w:space="0" w:color="auto"/>
            </w:tcBorders>
            <w:vAlign w:val="center"/>
          </w:tcPr>
          <w:p w:rsidR="00745EB6" w:rsidRPr="00487EB6" w:rsidRDefault="00D13D7E" w:rsidP="000D5ED2">
            <w:pPr>
              <w:snapToGrid w:val="0"/>
              <w:spacing w:line="288" w:lineRule="auto"/>
              <w:jc w:val="center"/>
              <w:rPr>
                <w:rFonts w:ascii="Garamond" w:hAnsi="Garamond"/>
                <w:sz w:val="22"/>
                <w:szCs w:val="22"/>
              </w:rPr>
            </w:pPr>
            <w:r>
              <w:rPr>
                <w:rFonts w:ascii="Garamond" w:hAnsi="Garamond"/>
                <w:sz w:val="22"/>
                <w:szCs w:val="22"/>
              </w:rPr>
              <w:t xml:space="preserve">Tak, </w:t>
            </w:r>
            <w:r w:rsidR="001E5F9F" w:rsidRPr="00487EB6">
              <w:rPr>
                <w:rFonts w:ascii="Garamond" w:hAnsi="Garamond"/>
                <w:sz w:val="22"/>
                <w:szCs w:val="22"/>
              </w:rPr>
              <w:t>5</w:t>
            </w:r>
            <w:r w:rsidR="00745EB6" w:rsidRPr="00487EB6">
              <w:rPr>
                <w:rFonts w:ascii="Garamond" w:hAnsi="Garamond"/>
                <w:sz w:val="22"/>
                <w:szCs w:val="22"/>
              </w:rPr>
              <w:t xml:space="preserve">00 </w:t>
            </w:r>
            <w:proofErr w:type="spellStart"/>
            <w:r w:rsidR="00745EB6" w:rsidRPr="00487EB6">
              <w:rPr>
                <w:rFonts w:ascii="Garamond" w:hAnsi="Garamond"/>
                <w:sz w:val="22"/>
                <w:szCs w:val="22"/>
              </w:rPr>
              <w:t>szt</w:t>
            </w:r>
            <w:proofErr w:type="spellEnd"/>
          </w:p>
        </w:tc>
        <w:tc>
          <w:tcPr>
            <w:tcW w:w="4535" w:type="dxa"/>
            <w:tcBorders>
              <w:top w:val="single" w:sz="4" w:space="0" w:color="auto"/>
              <w:left w:val="single" w:sz="4" w:space="0" w:color="auto"/>
              <w:bottom w:val="single" w:sz="4" w:space="0" w:color="auto"/>
              <w:right w:val="single" w:sz="4" w:space="0" w:color="auto"/>
            </w:tcBorders>
            <w:vAlign w:val="center"/>
          </w:tcPr>
          <w:p w:rsidR="00745EB6" w:rsidRPr="00487EB6" w:rsidRDefault="00745EB6"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745EB6" w:rsidRPr="00487EB6" w:rsidRDefault="00745EB6" w:rsidP="000D5ED2">
            <w:pPr>
              <w:snapToGrid w:val="0"/>
              <w:spacing w:line="288" w:lineRule="auto"/>
              <w:jc w:val="center"/>
              <w:rPr>
                <w:rFonts w:ascii="Garamond" w:hAnsi="Garamond"/>
                <w:sz w:val="22"/>
                <w:szCs w:val="22"/>
              </w:rPr>
            </w:pP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2C49C8" w:rsidRPr="00487EB6" w:rsidRDefault="002C49C8"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2C49C8" w:rsidRPr="00487EB6" w:rsidRDefault="00E72415" w:rsidP="000D5ED2">
            <w:pPr>
              <w:snapToGrid w:val="0"/>
              <w:spacing w:line="288" w:lineRule="auto"/>
              <w:rPr>
                <w:rFonts w:ascii="Garamond" w:hAnsi="Garamond"/>
                <w:sz w:val="22"/>
                <w:szCs w:val="22"/>
              </w:rPr>
            </w:pPr>
            <w:r w:rsidRPr="00487EB6">
              <w:rPr>
                <w:rFonts w:ascii="Garamond" w:hAnsi="Garamond"/>
                <w:b/>
                <w:sz w:val="22"/>
                <w:szCs w:val="22"/>
              </w:rPr>
              <w:t>pompy objętościowe  (biblioteka leków) - 261 szt.</w:t>
            </w:r>
          </w:p>
        </w:tc>
        <w:tc>
          <w:tcPr>
            <w:tcW w:w="1984" w:type="dxa"/>
            <w:tcBorders>
              <w:top w:val="single" w:sz="4" w:space="0" w:color="auto"/>
              <w:left w:val="single" w:sz="4" w:space="0" w:color="auto"/>
              <w:bottom w:val="single" w:sz="4" w:space="0" w:color="auto"/>
              <w:right w:val="single" w:sz="4" w:space="0" w:color="auto"/>
            </w:tcBorders>
            <w:vAlign w:val="center"/>
          </w:tcPr>
          <w:p w:rsidR="002C49C8" w:rsidRPr="00487EB6" w:rsidRDefault="002C49C8"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2C49C8" w:rsidRPr="00487EB6" w:rsidRDefault="002C49C8"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2C49C8" w:rsidRPr="00487EB6" w:rsidRDefault="002C49C8" w:rsidP="000D5ED2">
            <w:pPr>
              <w:snapToGrid w:val="0"/>
              <w:spacing w:line="288" w:lineRule="auto"/>
              <w:jc w:val="center"/>
              <w:rPr>
                <w:rFonts w:ascii="Garamond" w:hAnsi="Garamond"/>
                <w:sz w:val="22"/>
                <w:szCs w:val="22"/>
              </w:rPr>
            </w:pP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 xml:space="preserve">Oferowane urządzenia muszą spełniać normę EN 60601  </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Zabezpieczenie pompy przed przypadkowym zalaniem układów mechaniki i elektroniki, podać stopień ochrony IP – wymagany nie mniej niż IP 22</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Pompa objętościowa do dożylnej podaży leków i płynów, krwi i produktów krwiopochodnych.</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Dodatkowo do żywienia dojelitowego – 1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Zabezpieczenie przed swobodnym przepływem niezależnie w pompie i w drenie</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Automatycznie uruchamiana blokada swobodnego przepływu w drenie po otwarciu drzwiczek pompy</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 xml:space="preserve">Niezależny wskaźnik stanu naładowania akumulatora pompy wyświetlający poziom naładowania/ rozładowania akumulatora. </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Czas pracy pompy przy zasilaniu akumulatorowym, dla szybkości dozowania 25 ml/godz. nie mniej niż 5 godzin</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both"/>
              <w:rPr>
                <w:rFonts w:ascii="Garamond" w:hAnsi="Garamond"/>
                <w:sz w:val="22"/>
                <w:szCs w:val="22"/>
              </w:rPr>
            </w:pPr>
            <w:r w:rsidRPr="00487EB6">
              <w:rPr>
                <w:rFonts w:ascii="Garamond" w:hAnsi="Garamond"/>
                <w:sz w:val="22"/>
                <w:szCs w:val="22"/>
              </w:rPr>
              <w:t>najdłuższy czas – 0,5 pkt.,</w:t>
            </w:r>
          </w:p>
          <w:p w:rsidR="00E33A70" w:rsidRPr="00487EB6" w:rsidRDefault="00E33A70" w:rsidP="000D5ED2">
            <w:pPr>
              <w:snapToGrid w:val="0"/>
              <w:spacing w:line="288" w:lineRule="auto"/>
              <w:jc w:val="both"/>
              <w:rPr>
                <w:rFonts w:ascii="Garamond" w:hAnsi="Garamond"/>
                <w:sz w:val="22"/>
                <w:szCs w:val="22"/>
              </w:rPr>
            </w:pPr>
            <w:r w:rsidRPr="00487EB6">
              <w:rPr>
                <w:rFonts w:ascii="Garamond" w:hAnsi="Garamond"/>
                <w:sz w:val="22"/>
                <w:szCs w:val="22"/>
              </w:rPr>
              <w:t>pozostałe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Wymiana akumulatora przez użytkownika bez użycia narzędzi i wykonywania przeglądu technicznego, akumulator gotowy do pracy natychmiast po założeniu</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Funkcja STAND-BY</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Blokada ustawienia prędkości infuzji</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 xml:space="preserve">Zatrzaskowy system mocowania do stacji dokującej </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Ciężar urządzenia nie więcej niż  2,6</w:t>
            </w:r>
            <w:r w:rsidRPr="00487EB6">
              <w:rPr>
                <w:rFonts w:ascii="Garamond" w:hAnsi="Garamond"/>
                <w:strike/>
                <w:sz w:val="22"/>
                <w:szCs w:val="22"/>
              </w:rPr>
              <w:t xml:space="preserve"> </w:t>
            </w:r>
            <w:r w:rsidRPr="00487EB6">
              <w:rPr>
                <w:rFonts w:ascii="Garamond" w:hAnsi="Garamond"/>
                <w:sz w:val="22"/>
                <w:szCs w:val="22"/>
              </w:rPr>
              <w:t xml:space="preserve">[kg] </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Duży, czytelny wyświetlacz wbudowany w pompie, z szerokim kątem widzenia z każdej strony, preferowany o największej powierzchni (w cm</w:t>
            </w:r>
            <w:r w:rsidRPr="00487EB6">
              <w:rPr>
                <w:rFonts w:ascii="Garamond" w:hAnsi="Garamond"/>
                <w:sz w:val="22"/>
                <w:szCs w:val="22"/>
                <w:vertAlign w:val="superscript"/>
              </w:rPr>
              <w:t>2</w:t>
            </w:r>
            <w:r w:rsidRPr="00487EB6">
              <w:rPr>
                <w:rFonts w:ascii="Garamond" w:hAnsi="Garamond"/>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both"/>
              <w:rPr>
                <w:rFonts w:ascii="Garamond" w:hAnsi="Garamond"/>
                <w:sz w:val="22"/>
                <w:szCs w:val="22"/>
              </w:rPr>
            </w:pPr>
            <w:r w:rsidRPr="00487EB6">
              <w:rPr>
                <w:rFonts w:ascii="Garamond" w:hAnsi="Garamond"/>
                <w:sz w:val="22"/>
                <w:szCs w:val="22"/>
              </w:rPr>
              <w:t>Najwi</w:t>
            </w:r>
            <w:r w:rsidR="007D6AE5" w:rsidRPr="00487EB6">
              <w:rPr>
                <w:rFonts w:ascii="Garamond" w:hAnsi="Garamond"/>
                <w:sz w:val="22"/>
                <w:szCs w:val="22"/>
              </w:rPr>
              <w:t>ę</w:t>
            </w:r>
            <w:r w:rsidRPr="00487EB6">
              <w:rPr>
                <w:rFonts w:ascii="Garamond" w:hAnsi="Garamond"/>
                <w:sz w:val="22"/>
                <w:szCs w:val="22"/>
              </w:rPr>
              <w:t>ksza powierzchnia – 0,5 pkt.</w:t>
            </w:r>
          </w:p>
          <w:p w:rsidR="00E33A70" w:rsidRPr="00487EB6" w:rsidRDefault="00E33A70" w:rsidP="000D5ED2">
            <w:pPr>
              <w:snapToGrid w:val="0"/>
              <w:spacing w:line="288" w:lineRule="auto"/>
              <w:jc w:val="both"/>
              <w:rPr>
                <w:rFonts w:ascii="Garamond" w:hAnsi="Garamond"/>
                <w:sz w:val="22"/>
                <w:szCs w:val="22"/>
              </w:rPr>
            </w:pPr>
            <w:r w:rsidRPr="00487EB6">
              <w:rPr>
                <w:rFonts w:ascii="Garamond" w:hAnsi="Garamond"/>
                <w:sz w:val="22"/>
                <w:szCs w:val="22"/>
              </w:rPr>
              <w:t>pozostałe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Historia zdarzeń, przechowywana w pamięci pompy dostępna dla personelu lub z urządzeniami dodatkowymi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Największa liczba zdarzeń – 1 pkt.</w:t>
            </w:r>
          </w:p>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Inne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Równoczesne wyświetlanie na ekranie pompy nazwy leków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Funkcja programowania objętości do podania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zaprogramowania objętości infuzji dla trwającego wlewu</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Podaż krwi i preparatów krwiopochodnych poprzez zastosowanie dedykowanych aparatów do infuzji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7D6AE5"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 xml:space="preserve">pompa posiadająca  certyfikat świadczący o braku zjawiska hemolizy , w trakcie przetaczania krwi – 1 pkt., </w:t>
            </w:r>
          </w:p>
          <w:p w:rsidR="0057259B" w:rsidRPr="00487EB6" w:rsidRDefault="007D6AE5" w:rsidP="000D5ED2">
            <w:pPr>
              <w:snapToGrid w:val="0"/>
              <w:spacing w:line="288" w:lineRule="auto"/>
              <w:jc w:val="both"/>
              <w:rPr>
                <w:rFonts w:ascii="Garamond" w:hAnsi="Garamond"/>
                <w:sz w:val="22"/>
                <w:szCs w:val="22"/>
              </w:rPr>
            </w:pPr>
            <w:r w:rsidRPr="00487EB6">
              <w:rPr>
                <w:rFonts w:ascii="Garamond" w:hAnsi="Garamond"/>
                <w:sz w:val="22"/>
                <w:szCs w:val="22"/>
              </w:rPr>
              <w:t>brak certyfikatu</w:t>
            </w:r>
            <w:r w:rsidR="0057259B" w:rsidRPr="00487EB6">
              <w:rPr>
                <w:rFonts w:ascii="Garamond" w:hAnsi="Garamond"/>
                <w:sz w:val="22"/>
                <w:szCs w:val="22"/>
              </w:rPr>
              <w:t xml:space="preserv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Podaż lipidów poprzez dedykowane aparaty z filtrem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Praca z zestawami z Biuretą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Dostępność łączników bezigłowych w zestawach dedykowanych do pomp objętościowych</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Podaż infuzji podstawowej i dodatkowej</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Niezależne programowanie infuzji podstawowej i dodatkowej przed rozpoczęciem wlewu</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Wykrywanie pęcherzyków powietrza w drenie z możliwością określenia ich wielkości lub Funkcja wykrywania powietrza w linii z możliwością programowania rozmiaru wykrywanego pęcherzyka lub skumulowanego powietrza zmierzonego w ciągu 15 minut</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Praca w min. następujących trybach:</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-szybkość dozowania – w ml/godz., jednostkach masowych w stosunku do czasu – wymienić jednostki,</w:t>
            </w:r>
          </w:p>
          <w:p w:rsidR="0057259B" w:rsidRPr="00487EB6" w:rsidRDefault="0057259B" w:rsidP="000D5ED2">
            <w:pPr>
              <w:snapToGrid w:val="0"/>
              <w:spacing w:line="288" w:lineRule="auto"/>
              <w:rPr>
                <w:rFonts w:ascii="Garamond" w:hAnsi="Garamond"/>
                <w:sz w:val="22"/>
                <w:szCs w:val="22"/>
              </w:rPr>
            </w:pP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i w jednostkach masowych w stosunku do wagi pacjenta i czasu – wymienić jednostki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-szybkość dozowania + objętość infuzji do podania</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objętość do podania + czas podaży (automatyczne wyliczanie prędkości podaży)</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z kalkulatorem lekowym automatycznie  obliczającym dawkowanie</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Zmiana prędkości podaży leku w trakcie pracy bez </w:t>
            </w:r>
            <w:r w:rsidRPr="00487EB6">
              <w:rPr>
                <w:rFonts w:ascii="Garamond" w:hAnsi="Garamond"/>
                <w:sz w:val="22"/>
                <w:szCs w:val="22"/>
              </w:rPr>
              <w:lastRenderedPageBreak/>
              <w:t>konieczności wyłączenia pompy</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Biblioteka leków min 150 leków wraz z protokołami infuzji, min. 15 profili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Podział leków w bibliotece na profile (rodzaj pacjenta lub oddział/pododdział) z możliwością umieszczenia tego samego leku w różnych profilach – preferowana największa ilość dostępnych profili, ale nie mniej niż 10</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Modyfikacja przez Użytkownika wybranego protokołu lekowego</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Wybór trybów pracy po zakończeniu infuzji: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zatrzymanie infuzji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 tryb KVO (utrzymanie drożności wlewu/naczynia – zapobieganie </w:t>
            </w:r>
            <w:proofErr w:type="spellStart"/>
            <w:r w:rsidRPr="00487EB6">
              <w:rPr>
                <w:rFonts w:ascii="Garamond" w:hAnsi="Garamond"/>
                <w:sz w:val="22"/>
                <w:szCs w:val="22"/>
              </w:rPr>
              <w:t>obturacji</w:t>
            </w:r>
            <w:proofErr w:type="spellEnd"/>
            <w:r w:rsidRPr="00487EB6">
              <w:rPr>
                <w:rFonts w:ascii="Garamond" w:hAnsi="Garamond"/>
                <w:sz w:val="22"/>
                <w:szCs w:val="22"/>
              </w:rPr>
              <w:t>)</w:t>
            </w:r>
          </w:p>
          <w:p w:rsidR="0057259B" w:rsidRPr="00487EB6" w:rsidRDefault="0057259B" w:rsidP="000D5ED2">
            <w:pPr>
              <w:snapToGrid w:val="0"/>
              <w:spacing w:line="288" w:lineRule="auto"/>
              <w:rPr>
                <w:rFonts w:ascii="Garamond" w:hAnsi="Garamond"/>
                <w:strike/>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Tryb BOLUS z podaniem dawki uderzeniowej bez zatrzymania infuzji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automatyczny (</w:t>
            </w:r>
            <w:proofErr w:type="spellStart"/>
            <w:r w:rsidRPr="00487EB6">
              <w:rPr>
                <w:rFonts w:ascii="Garamond" w:hAnsi="Garamond"/>
                <w:sz w:val="22"/>
                <w:szCs w:val="22"/>
              </w:rPr>
              <w:t>hands</w:t>
            </w:r>
            <w:proofErr w:type="spellEnd"/>
            <w:r w:rsidRPr="00487EB6">
              <w:rPr>
                <w:rFonts w:ascii="Garamond" w:hAnsi="Garamond"/>
                <w:sz w:val="22"/>
                <w:szCs w:val="22"/>
              </w:rPr>
              <w:t xml:space="preserve"> </w:t>
            </w:r>
            <w:proofErr w:type="spellStart"/>
            <w:r w:rsidRPr="00487EB6">
              <w:rPr>
                <w:rFonts w:ascii="Garamond" w:hAnsi="Garamond"/>
                <w:sz w:val="22"/>
                <w:szCs w:val="22"/>
              </w:rPr>
              <w:t>free</w:t>
            </w:r>
            <w:proofErr w:type="spellEnd"/>
            <w:r w:rsidRPr="00487EB6">
              <w:rPr>
                <w:rFonts w:ascii="Garamond" w:hAnsi="Garamond"/>
                <w:sz w:val="22"/>
                <w:szCs w:val="22"/>
              </w:rPr>
              <w:t>) z konfigurowaną przez użytkownika prędkością podaży w zakresie min 10 – 1200 ml/h oraz objętością dawki w zakresie min 0,1 – 25 ml.</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 xml:space="preserve">Tak  - 0,5 pkt. </w:t>
            </w:r>
          </w:p>
          <w:p w:rsidR="0057259B" w:rsidRPr="00487EB6" w:rsidRDefault="007D6AE5" w:rsidP="000D5ED2">
            <w:pPr>
              <w:snapToGrid w:val="0"/>
              <w:spacing w:line="288" w:lineRule="auto"/>
              <w:jc w:val="both"/>
              <w:rPr>
                <w:rFonts w:ascii="Garamond" w:hAnsi="Garamond"/>
                <w:sz w:val="22"/>
                <w:szCs w:val="22"/>
              </w:rPr>
            </w:pPr>
            <w:r w:rsidRPr="00487EB6">
              <w:rPr>
                <w:rFonts w:ascii="Garamond" w:hAnsi="Garamond"/>
                <w:sz w:val="22"/>
                <w:szCs w:val="22"/>
              </w:rPr>
              <w:t>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ręczny (</w:t>
            </w:r>
            <w:proofErr w:type="spellStart"/>
            <w:r w:rsidRPr="00487EB6">
              <w:rPr>
                <w:rFonts w:ascii="Garamond" w:hAnsi="Garamond"/>
                <w:sz w:val="22"/>
                <w:szCs w:val="22"/>
              </w:rPr>
              <w:t>hands</w:t>
            </w:r>
            <w:proofErr w:type="spellEnd"/>
            <w:r w:rsidRPr="00487EB6">
              <w:rPr>
                <w:rFonts w:ascii="Garamond" w:hAnsi="Garamond"/>
                <w:sz w:val="22"/>
                <w:szCs w:val="22"/>
              </w:rPr>
              <w:t xml:space="preserve"> on) z konfigurowaną przez </w:t>
            </w:r>
            <w:r w:rsidRPr="00487EB6">
              <w:rPr>
                <w:rFonts w:ascii="Garamond" w:hAnsi="Garamond"/>
                <w:sz w:val="22"/>
                <w:szCs w:val="22"/>
              </w:rPr>
              <w:lastRenderedPageBreak/>
              <w:t>użytkownika prędkością podaży w zakresie min 10 – 1200 ml/h i kontrolą objętości podanego bolusa</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 xml:space="preserve">Tak  - 0,5 pkt. </w:t>
            </w:r>
          </w:p>
          <w:p w:rsidR="0057259B" w:rsidRPr="00487EB6" w:rsidRDefault="007D6AE5" w:rsidP="000D5ED2">
            <w:pPr>
              <w:snapToGrid w:val="0"/>
              <w:spacing w:line="288" w:lineRule="auto"/>
              <w:jc w:val="both"/>
              <w:rPr>
                <w:rFonts w:ascii="Garamond" w:hAnsi="Garamond"/>
                <w:sz w:val="22"/>
                <w:szCs w:val="22"/>
              </w:rPr>
            </w:pPr>
            <w:r w:rsidRPr="00487EB6">
              <w:rPr>
                <w:rFonts w:ascii="Garamond" w:hAnsi="Garamond"/>
                <w:sz w:val="22"/>
                <w:szCs w:val="22"/>
              </w:rPr>
              <w:lastRenderedPageBreak/>
              <w:t>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Wskaźnik wielkości okluzji, ustawianie granicy ciśnienia okluzji przed jak i w czasie infuzji bez jej przerywania, </w:t>
            </w:r>
          </w:p>
          <w:p w:rsidR="0057259B" w:rsidRPr="00487EB6" w:rsidRDefault="0057259B"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 xml:space="preserve">15 poziomów i więcej - 2 pkt;  </w:t>
            </w:r>
            <w:r w:rsidR="00191483" w:rsidRPr="00487EB6">
              <w:rPr>
                <w:rFonts w:ascii="Garamond" w:hAnsi="Garamond"/>
                <w:sz w:val="22"/>
                <w:szCs w:val="22"/>
              </w:rPr>
              <w:t>mniej</w:t>
            </w:r>
            <w:r w:rsidRPr="00487EB6">
              <w:rPr>
                <w:rFonts w:ascii="Garamond" w:hAnsi="Garamond"/>
                <w:sz w:val="22"/>
                <w:szCs w:val="22"/>
              </w:rPr>
              <w:t>sze wartości – 0 pkt.</w:t>
            </w:r>
          </w:p>
          <w:p w:rsidR="0057259B" w:rsidRPr="00487EB6" w:rsidRDefault="0057259B" w:rsidP="000D5ED2">
            <w:pPr>
              <w:snapToGrid w:val="0"/>
              <w:spacing w:line="288" w:lineRule="auto"/>
              <w:jc w:val="both"/>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Czytelny wyświetlacz z możliwością wyświetlania min następujących informacji :</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Nazwa leku</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Prędkość infuzji</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Informacja o trwającej infuzji  w postaci piktogramu lub alfanumerycznych zapisów</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Czas pozostały do końca infuzji </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Informacja o stanie naładowania akumulatora </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Graficzny obraz stanu ciśnienia - wybrane ciśnienie alarmu okluzji,</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ikona stanu naładowania baterii</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informacja o infuzji dodatkowej</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15"/>
              </w:numPr>
              <w:suppressAutoHyphens/>
              <w:snapToGrid w:val="0"/>
              <w:spacing w:after="0" w:line="288" w:lineRule="auto"/>
              <w:jc w:val="center"/>
              <w:rPr>
                <w:rFonts w:ascii="Garamond" w:hAnsi="Garamond"/>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Praca pompy w systemie zarządzającym infuzjami poprzez stację dokującą</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Zróżnicowany dwustopniowy system ostrzeżeń i alarmów akustycznych i optycznych (wizualnych) </w:t>
            </w:r>
            <w:r w:rsidRPr="00487EB6">
              <w:rPr>
                <w:rFonts w:ascii="Garamond" w:hAnsi="Garamond"/>
                <w:sz w:val="22"/>
                <w:szCs w:val="22"/>
              </w:rPr>
              <w:lastRenderedPageBreak/>
              <w:t>z wstrzymaniem infuzji dla alarmów</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okluzji w części górnej (pomiędzy pompą a workiem) z automatycznym wstrzymaniem infuzji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okluzji w części dolnej (pomiędzy pompą a pacjentem) z automatycznym wstrzymaniem infuzji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Alarm końca infuzji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o przejściu w tryb KVO, zatrzymania lub kontynuacji infuzji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otwartych drzwiczek</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nieprawidłowego zamocowania drenu</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użytego nieprawidłowego drenu</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Tak – 0,2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braku przepływu (przy zastosowaniu licznika kropli)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Tak – 0,2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błędu przepływu (przy zastosowaniu licznika kropli)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Tak – 0,2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powietrza w linii – dla pojedynczego pęcherzyka powietrza przekraczającego limit</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Tak – 0,2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Alarm powietrza w linii – dla skumulowanej objętości pęcherzyków powietrza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 Alarm wstępny rozładowania baterii – na 30 minut przed jej wyczerpaniem lub pompy z  </w:t>
            </w:r>
            <w:r w:rsidRPr="00487EB6">
              <w:rPr>
                <w:rFonts w:ascii="Garamond" w:hAnsi="Garamond"/>
                <w:sz w:val="22"/>
                <w:szCs w:val="22"/>
              </w:rPr>
              <w:lastRenderedPageBreak/>
              <w:t>wstępnym alarmem rozładowania akumulatora  w trybie średniego priorytetu oraz alarmem rozładowania akumulatora – na 5  minut  przed jego wyczerpaniem w trybie wysokiego priorytetu  alarmu</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rozładowania baterii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Alarm awarii urządzenia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Inne alarmy i ostrzeżenia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żywienie dojelitowe specjalnymi drenami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1 pkt- TAK</w:t>
            </w:r>
          </w:p>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0 pkt - NIE</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Objętość zajmowanej powierzchni, zajmowana przez pojedynczą pompę [cm3]</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Najmniejsza – 1 pkt, pozostałe -0 pkt</w:t>
            </w:r>
          </w:p>
        </w:tc>
      </w:tr>
      <w:tr w:rsidR="00745EB6"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745EB6" w:rsidRPr="00487EB6" w:rsidRDefault="00745EB6"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5EB6" w:rsidRPr="00487EB6" w:rsidRDefault="00745EB6" w:rsidP="00745EB6">
            <w:pPr>
              <w:snapToGrid w:val="0"/>
              <w:spacing w:line="288" w:lineRule="auto"/>
              <w:rPr>
                <w:rFonts w:ascii="Garamond" w:hAnsi="Garamond"/>
                <w:b/>
                <w:sz w:val="22"/>
                <w:szCs w:val="22"/>
              </w:rPr>
            </w:pPr>
            <w:r w:rsidRPr="00487EB6">
              <w:rPr>
                <w:rFonts w:ascii="Garamond" w:hAnsi="Garamond"/>
                <w:sz w:val="22"/>
                <w:szCs w:val="22"/>
              </w:rPr>
              <w:t>Dreny do oferowanej pompy</w:t>
            </w:r>
          </w:p>
        </w:tc>
        <w:tc>
          <w:tcPr>
            <w:tcW w:w="1984" w:type="dxa"/>
            <w:tcBorders>
              <w:top w:val="single" w:sz="4" w:space="0" w:color="auto"/>
              <w:left w:val="single" w:sz="4" w:space="0" w:color="auto"/>
              <w:bottom w:val="single" w:sz="4" w:space="0" w:color="auto"/>
              <w:right w:val="single" w:sz="4" w:space="0" w:color="auto"/>
            </w:tcBorders>
            <w:vAlign w:val="center"/>
          </w:tcPr>
          <w:p w:rsidR="00745EB6" w:rsidRPr="00487EB6" w:rsidRDefault="008912AB" w:rsidP="000D5ED2">
            <w:pPr>
              <w:snapToGrid w:val="0"/>
              <w:spacing w:line="288" w:lineRule="auto"/>
              <w:jc w:val="center"/>
              <w:rPr>
                <w:rFonts w:ascii="Garamond" w:hAnsi="Garamond"/>
                <w:sz w:val="22"/>
                <w:szCs w:val="22"/>
              </w:rPr>
            </w:pPr>
            <w:r>
              <w:rPr>
                <w:rFonts w:ascii="Garamond" w:hAnsi="Garamond"/>
                <w:sz w:val="22"/>
                <w:szCs w:val="22"/>
              </w:rPr>
              <w:t xml:space="preserve">Tak, </w:t>
            </w:r>
            <w:r w:rsidR="00F50EDC" w:rsidRPr="00487EB6">
              <w:rPr>
                <w:rFonts w:ascii="Garamond" w:hAnsi="Garamond"/>
                <w:sz w:val="22"/>
                <w:szCs w:val="22"/>
              </w:rPr>
              <w:t>12</w:t>
            </w:r>
            <w:r w:rsidR="00745EB6" w:rsidRPr="00487EB6">
              <w:rPr>
                <w:rFonts w:ascii="Garamond" w:hAnsi="Garamond"/>
                <w:sz w:val="22"/>
                <w:szCs w:val="22"/>
              </w:rPr>
              <w:t xml:space="preserve">00 </w:t>
            </w:r>
            <w:proofErr w:type="spellStart"/>
            <w:r w:rsidR="00745EB6" w:rsidRPr="00487EB6">
              <w:rPr>
                <w:rFonts w:ascii="Garamond" w:hAnsi="Garamond"/>
                <w:sz w:val="22"/>
                <w:szCs w:val="22"/>
              </w:rPr>
              <w:t>szt</w:t>
            </w:r>
            <w:proofErr w:type="spellEnd"/>
          </w:p>
        </w:tc>
        <w:tc>
          <w:tcPr>
            <w:tcW w:w="4535" w:type="dxa"/>
            <w:tcBorders>
              <w:top w:val="single" w:sz="4" w:space="0" w:color="auto"/>
              <w:left w:val="single" w:sz="4" w:space="0" w:color="auto"/>
              <w:bottom w:val="single" w:sz="4" w:space="0" w:color="auto"/>
              <w:right w:val="single" w:sz="4" w:space="0" w:color="auto"/>
            </w:tcBorders>
            <w:vAlign w:val="center"/>
          </w:tcPr>
          <w:p w:rsidR="00745EB6" w:rsidRPr="00487EB6" w:rsidRDefault="00745EB6"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745EB6" w:rsidRPr="00487EB6" w:rsidRDefault="00745EB6" w:rsidP="000D5ED2">
            <w:pPr>
              <w:snapToGrid w:val="0"/>
              <w:spacing w:line="288" w:lineRule="auto"/>
              <w:jc w:val="center"/>
              <w:rPr>
                <w:rFonts w:ascii="Garamond" w:hAnsi="Garamond"/>
                <w:sz w:val="22"/>
                <w:szCs w:val="22"/>
              </w:rPr>
            </w:pP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b/>
                <w:sz w:val="22"/>
                <w:szCs w:val="22"/>
              </w:rPr>
            </w:pPr>
            <w:r w:rsidRPr="00487EB6">
              <w:rPr>
                <w:rFonts w:ascii="Garamond" w:hAnsi="Garamond"/>
                <w:b/>
                <w:sz w:val="22"/>
                <w:szCs w:val="22"/>
              </w:rPr>
              <w:t>stacja dokująca 4 pompy COM - 155 szt.</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maksymalnego dokowania w stacji roboczej przynajmniej min 4 pomp infuzyjnych</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Uwaga – Zamawiający dopuszcza rozwiązanie polegające na możliwości użycia jednego portu komunikacyjnego (COM) na jedno stanowisko</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Dwustronna Komunikacja z pompami infuzyjnymi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System zatrzaskowego mocowania pomp w stacji </w:t>
            </w:r>
            <w:r w:rsidRPr="00487EB6">
              <w:rPr>
                <w:rFonts w:ascii="Garamond" w:hAnsi="Garamond"/>
                <w:sz w:val="22"/>
                <w:szCs w:val="22"/>
              </w:rPr>
              <w:lastRenderedPageBreak/>
              <w:t>dokującej</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 xml:space="preserve">dowolna konfiguracja układu i </w:t>
            </w:r>
            <w:r w:rsidRPr="00487EB6">
              <w:rPr>
                <w:rFonts w:ascii="Garamond" w:hAnsi="Garamond"/>
                <w:sz w:val="22"/>
                <w:szCs w:val="22"/>
              </w:rPr>
              <w:lastRenderedPageBreak/>
              <w:t xml:space="preserve">ilości pomp </w:t>
            </w:r>
            <w:proofErr w:type="spellStart"/>
            <w:r w:rsidRPr="00487EB6">
              <w:rPr>
                <w:rFonts w:ascii="Garamond" w:hAnsi="Garamond"/>
                <w:sz w:val="22"/>
                <w:szCs w:val="22"/>
              </w:rPr>
              <w:t>strzykawkowych</w:t>
            </w:r>
            <w:proofErr w:type="spellEnd"/>
            <w:r w:rsidRPr="00487EB6">
              <w:rPr>
                <w:rFonts w:ascii="Garamond" w:hAnsi="Garamond"/>
                <w:sz w:val="22"/>
                <w:szCs w:val="22"/>
              </w:rPr>
              <w:t xml:space="preserve"> i objętościowych, 1 pkt.</w:t>
            </w:r>
          </w:p>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brak elastyczności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Wspólne zasilanie pomp ze stacji dokującej</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Ładowanie pomp natychmiast po podłączeniu do stacji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montażu stacji dokującej na stojaku jezdnym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montażu stacji dokującej do kolumn pionowych (uwzględniających wagę zestawu łącznie z pompami)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7D6AE5"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najmniejsza waga</w:t>
            </w:r>
            <w:r w:rsidR="007D6AE5" w:rsidRPr="00487EB6">
              <w:rPr>
                <w:rFonts w:ascii="Garamond" w:hAnsi="Garamond"/>
                <w:sz w:val="22"/>
                <w:szCs w:val="22"/>
              </w:rPr>
              <w:t xml:space="preserve"> – 0,5 pkt.</w:t>
            </w:r>
          </w:p>
          <w:p w:rsidR="0057259B" w:rsidRPr="00487EB6" w:rsidRDefault="007D6AE5" w:rsidP="000D5ED2">
            <w:pPr>
              <w:snapToGrid w:val="0"/>
              <w:spacing w:line="288" w:lineRule="auto"/>
              <w:jc w:val="both"/>
              <w:rPr>
                <w:rFonts w:ascii="Garamond" w:hAnsi="Garamond"/>
                <w:sz w:val="22"/>
                <w:szCs w:val="22"/>
              </w:rPr>
            </w:pPr>
            <w:r w:rsidRPr="00487EB6">
              <w:rPr>
                <w:rFonts w:ascii="Garamond" w:hAnsi="Garamond"/>
                <w:sz w:val="22"/>
                <w:szCs w:val="22"/>
              </w:rPr>
              <w:t>pozostałe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montażu stacji dokującej z wykorzystaniem standardowych szyn medycznych</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Łatwo dostrzegalna panel sygnalizacyjny</w:t>
            </w:r>
            <w:r w:rsidRPr="00487EB6">
              <w:rPr>
                <w:rFonts w:ascii="Garamond" w:hAnsi="Garamond"/>
                <w:strike/>
                <w:sz w:val="22"/>
                <w:szCs w:val="22"/>
              </w:rPr>
              <w:t xml:space="preserve"> </w:t>
            </w:r>
            <w:r w:rsidRPr="00487EB6">
              <w:rPr>
                <w:rFonts w:ascii="Garamond" w:hAnsi="Garamond"/>
                <w:sz w:val="22"/>
                <w:szCs w:val="22"/>
              </w:rPr>
              <w:t>wskazujący stan pompy zamocowanej do stacji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Opcjonalna możliwość przyszłościowego włączenia roboczych stacji dokujących w system centralnego monitorowania infuzji oraz serwerowy system do zdalnego przesyłania zestawów danych i automatycznego zbierania danych infuzji</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u w:val="single"/>
              </w:rPr>
              <w:t xml:space="preserve">W celu przyszłej rozbudowy wymaga się aby w cenie oferty system posiadał już w swojej </w:t>
            </w:r>
            <w:r w:rsidRPr="00487EB6">
              <w:rPr>
                <w:rFonts w:ascii="Garamond" w:hAnsi="Garamond"/>
                <w:sz w:val="22"/>
                <w:szCs w:val="22"/>
                <w:u w:val="single"/>
              </w:rPr>
              <w:lastRenderedPageBreak/>
              <w:t>konfiguracji minimum n/w funkcjonalności: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kompatybilność stacji dokujących z oprogramowaniem umożliwiającym centralne monitorowanie infuzji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możliwość jednoczasowego wyświetlania na jednym monitorze wszystkich stanowisk infuzji, bez konieczności, wywoływania kolejnych ekranów wymagana jest jednoczasowa obserwacja do min. 12 stanowisk infuzji jednoczasowo</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 wizualne rozróżnienie, różnych terapii dożylnych, w centrali monitorowania ( np. </w:t>
            </w:r>
            <w:proofErr w:type="spellStart"/>
            <w:r w:rsidRPr="00487EB6">
              <w:rPr>
                <w:rFonts w:ascii="Garamond" w:hAnsi="Garamond"/>
                <w:sz w:val="22"/>
                <w:szCs w:val="22"/>
              </w:rPr>
              <w:t>terapi</w:t>
            </w:r>
            <w:proofErr w:type="spellEnd"/>
            <w:r w:rsidRPr="00487EB6">
              <w:rPr>
                <w:rFonts w:ascii="Garamond" w:hAnsi="Garamond"/>
                <w:sz w:val="22"/>
                <w:szCs w:val="22"/>
              </w:rPr>
              <w:t xml:space="preserve"> TCI, TIVA, </w:t>
            </w:r>
            <w:proofErr w:type="spellStart"/>
            <w:r w:rsidRPr="00487EB6">
              <w:rPr>
                <w:rFonts w:ascii="Garamond" w:hAnsi="Garamond"/>
                <w:sz w:val="22"/>
                <w:szCs w:val="22"/>
              </w:rPr>
              <w:t>Enteral</w:t>
            </w:r>
            <w:proofErr w:type="spellEnd"/>
            <w:r w:rsidRPr="00487EB6">
              <w:rPr>
                <w:rFonts w:ascii="Garamond" w:hAnsi="Garamond"/>
                <w:sz w:val="22"/>
                <w:szCs w:val="22"/>
              </w:rPr>
              <w:t xml:space="preserve"> </w:t>
            </w:r>
            <w:proofErr w:type="spellStart"/>
            <w:r w:rsidRPr="00487EB6">
              <w:rPr>
                <w:rFonts w:ascii="Garamond" w:hAnsi="Garamond"/>
                <w:sz w:val="22"/>
                <w:szCs w:val="22"/>
              </w:rPr>
              <w:t>itp</w:t>
            </w:r>
            <w:proofErr w:type="spellEnd"/>
            <w:r w:rsidRPr="00487EB6">
              <w:rPr>
                <w:rFonts w:ascii="Garamond" w:hAnsi="Garamond"/>
                <w:sz w:val="22"/>
                <w:szCs w:val="22"/>
              </w:rPr>
              <w:t xml:space="preserve"> )w pompach objętościowych i </w:t>
            </w:r>
            <w:proofErr w:type="spellStart"/>
            <w:r w:rsidRPr="00487EB6">
              <w:rPr>
                <w:rFonts w:ascii="Garamond" w:hAnsi="Garamond"/>
                <w:sz w:val="22"/>
                <w:szCs w:val="22"/>
              </w:rPr>
              <w:t>strzykawkowych</w:t>
            </w:r>
            <w:proofErr w:type="spellEnd"/>
            <w:r w:rsidRPr="00487EB6">
              <w:rPr>
                <w:rFonts w:ascii="Garamond" w:hAnsi="Garamond"/>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wyświetlanie alarmów na stanowisku centralnym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przeglądanie historii infuzji u każdego pacjenta na stanowisku centralnym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tworzenie bilansu płynów na stanowisku centralnym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 transfer zestawów danych do i z pomp poprzez sieć szpitalną, bez konieczności przerywania infuzji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 natychmiastowa możliwość zlokalizowania pomp </w:t>
            </w:r>
            <w:r w:rsidRPr="00487EB6">
              <w:rPr>
                <w:rFonts w:ascii="Garamond" w:hAnsi="Garamond"/>
                <w:sz w:val="22"/>
                <w:szCs w:val="22"/>
              </w:rPr>
              <w:lastRenderedPageBreak/>
              <w:t>w systemie</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Komunikacja ze szpitalną siecią komputerową i bezpośrednio z komputerem za pomocą interfejsu Ethernet lub/i za pomocą bezprzewodowego połączenia sieciowego</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rozbudowy stacji o adapter do łączności bezprzewodowej ze szpitalną siecią komputerową</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trike/>
                <w:sz w:val="22"/>
                <w:szCs w:val="22"/>
              </w:rPr>
            </w:pPr>
          </w:p>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tak – 3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Przeglądanie z zewnętrznego komputera lub komputera w sieci statusu infuzji i rejestru zdarzeń stacji z wykorzystaniem standardowej przeglądarki internetowej</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Kompatybilność z systemem PDMS co najmniej dla firm Philips, </w:t>
            </w:r>
            <w:proofErr w:type="spellStart"/>
            <w:r w:rsidRPr="00487EB6">
              <w:rPr>
                <w:rFonts w:ascii="Garamond" w:hAnsi="Garamond"/>
                <w:sz w:val="22"/>
                <w:szCs w:val="22"/>
              </w:rPr>
              <w:t>Draeger</w:t>
            </w:r>
            <w:proofErr w:type="spellEnd"/>
            <w:r w:rsidRPr="00487EB6">
              <w:rPr>
                <w:rFonts w:ascii="Garamond" w:hAnsi="Garamond"/>
                <w:sz w:val="22"/>
                <w:szCs w:val="22"/>
              </w:rPr>
              <w:t xml:space="preserve">, GE, </w:t>
            </w:r>
            <w:proofErr w:type="spellStart"/>
            <w:r w:rsidRPr="00487EB6">
              <w:rPr>
                <w:rFonts w:ascii="Garamond" w:hAnsi="Garamond"/>
                <w:sz w:val="22"/>
                <w:szCs w:val="22"/>
              </w:rPr>
              <w:t>LowTec</w:t>
            </w:r>
            <w:proofErr w:type="spellEnd"/>
            <w:r w:rsidRPr="00487EB6">
              <w:rPr>
                <w:rFonts w:ascii="Garamond" w:hAnsi="Garamond"/>
                <w:sz w:val="22"/>
                <w:szCs w:val="22"/>
              </w:rPr>
              <w:t xml:space="preserve">, </w:t>
            </w:r>
            <w:proofErr w:type="spellStart"/>
            <w:r w:rsidRPr="00487EB6">
              <w:rPr>
                <w:rFonts w:ascii="Garamond" w:hAnsi="Garamond"/>
                <w:sz w:val="22"/>
                <w:szCs w:val="22"/>
              </w:rPr>
              <w:t>iMDsoft</w:t>
            </w:r>
            <w:proofErr w:type="spellEnd"/>
            <w:r w:rsidRPr="00487EB6">
              <w:rPr>
                <w:rFonts w:ascii="Garamond" w:hAnsi="Garamond"/>
                <w:sz w:val="22"/>
                <w:szCs w:val="22"/>
              </w:rPr>
              <w:t xml:space="preserve">, </w:t>
            </w:r>
            <w:proofErr w:type="spellStart"/>
            <w:r w:rsidRPr="00487EB6">
              <w:rPr>
                <w:rFonts w:ascii="Garamond" w:hAnsi="Garamond"/>
                <w:sz w:val="22"/>
                <w:szCs w:val="22"/>
              </w:rPr>
              <w:t>CapsuleTech</w:t>
            </w:r>
            <w:proofErr w:type="spellEnd"/>
            <w:r w:rsidRPr="00487EB6">
              <w:rPr>
                <w:rFonts w:ascii="Garamond" w:hAnsi="Garamond"/>
                <w:sz w:val="22"/>
                <w:szCs w:val="22"/>
              </w:rPr>
              <w:t xml:space="preserve">, </w:t>
            </w:r>
            <w:proofErr w:type="spellStart"/>
            <w:r w:rsidRPr="00487EB6">
              <w:rPr>
                <w:rFonts w:ascii="Garamond" w:hAnsi="Garamond"/>
                <w:sz w:val="22"/>
                <w:szCs w:val="22"/>
              </w:rPr>
              <w:t>Epic</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Zabezpieczenie interfejsu konfiguracyjnego stacji dokującej hasłem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Interfejs komunikacyjny dwukierunkowy pozwalający na przesyłanie informacji do systemu HIS i zaciąganie z systemu HIS minimum danych pacjenta w standardzie HL7 przy użyciu zewnętrznego oprogramowania</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Podtrzymanie zasilania stacji oraz komunikacji pompa-stacja dokująca oraz stacja dokująca-szpitalna sieć komputerowa w przypadku odłączenia zasilania z gniazda sieciowego przez minimum 60 minut</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Szybkie ładowanie </w:t>
            </w:r>
            <w:proofErr w:type="spellStart"/>
            <w:r w:rsidRPr="00487EB6">
              <w:rPr>
                <w:rFonts w:ascii="Garamond" w:hAnsi="Garamond"/>
                <w:sz w:val="22"/>
                <w:szCs w:val="22"/>
              </w:rPr>
              <w:t>akmumulatorów</w:t>
            </w:r>
            <w:proofErr w:type="spellEnd"/>
            <w:r w:rsidRPr="00487EB6">
              <w:rPr>
                <w:rFonts w:ascii="Garamond" w:hAnsi="Garamond"/>
                <w:sz w:val="22"/>
                <w:szCs w:val="22"/>
              </w:rPr>
              <w:t xml:space="preserve"> Stacji roboczej – od całkowitego rozładowania do naładowania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Wymiana akumulatora przez użytkownika bez użycia specjalnych narzędzi i wykonywania przeglądu technicznego</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Tak – 0,5 pkt, Nie – 0 pkt</w:t>
            </w:r>
          </w:p>
          <w:p w:rsidR="0057259B" w:rsidRPr="00487EB6" w:rsidRDefault="0057259B" w:rsidP="000D5ED2">
            <w:pPr>
              <w:snapToGrid w:val="0"/>
              <w:spacing w:line="288" w:lineRule="auto"/>
              <w:jc w:val="center"/>
              <w:rPr>
                <w:rFonts w:ascii="Garamond" w:hAnsi="Garamond"/>
                <w:strike/>
                <w:sz w:val="22"/>
                <w:szCs w:val="22"/>
              </w:rPr>
            </w:pPr>
          </w:p>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xml:space="preserve">- -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Przypomnienie o konieczności podłączenia przewodu zasilającego po jego odłączeniu</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Oferowane urządzenia muszą spełniać normę EN 60601</w:t>
            </w:r>
          </w:p>
          <w:p w:rsidR="0057259B" w:rsidRPr="00487EB6" w:rsidRDefault="0057259B"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Objętość zajmowana przez stacje dokującą [cm3]</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najmniejsza objętość</w:t>
            </w:r>
            <w:r w:rsidR="00191483" w:rsidRPr="00487EB6">
              <w:rPr>
                <w:rFonts w:ascii="Garamond" w:hAnsi="Garamond"/>
                <w:sz w:val="22"/>
                <w:szCs w:val="22"/>
              </w:rPr>
              <w:t xml:space="preserve"> – 2 pkt, pozostałe – 0 pkt.</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b/>
                <w:sz w:val="22"/>
                <w:szCs w:val="22"/>
              </w:rPr>
              <w:t>stacja dokująca 6 lub 8 pomp COM – 56 szt.</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maksymalnego dokowania w stacji roboczej przynajmniej 6 - 8 pomp infuzyjnych.</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Uwaga – Zamawiający dopuszcza rozwiązanie polegające na możliwości użycia jednego portu </w:t>
            </w:r>
            <w:r w:rsidRPr="00487EB6">
              <w:rPr>
                <w:rFonts w:ascii="Garamond" w:hAnsi="Garamond"/>
                <w:sz w:val="22"/>
                <w:szCs w:val="22"/>
              </w:rPr>
              <w:lastRenderedPageBreak/>
              <w:t>komunikacyjnego (COM) na jedno stanowisko</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Dwustronna Komunikacja z pompami infuzyjnymi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System zatrzaskowego mocowania pomp w stacji dokującej</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7D6AE5"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 xml:space="preserve">dowolna konfiguracja układu i ilości pomp </w:t>
            </w:r>
            <w:proofErr w:type="spellStart"/>
            <w:r w:rsidRPr="00487EB6">
              <w:rPr>
                <w:rFonts w:ascii="Garamond" w:hAnsi="Garamond"/>
                <w:sz w:val="22"/>
                <w:szCs w:val="22"/>
              </w:rPr>
              <w:t>strzykawkowych</w:t>
            </w:r>
            <w:proofErr w:type="spellEnd"/>
            <w:r w:rsidRPr="00487EB6">
              <w:rPr>
                <w:rFonts w:ascii="Garamond" w:hAnsi="Garamond"/>
                <w:sz w:val="22"/>
                <w:szCs w:val="22"/>
              </w:rPr>
              <w:t xml:space="preserve"> i objętościowych</w:t>
            </w:r>
            <w:r w:rsidR="007D6AE5" w:rsidRPr="00487EB6">
              <w:rPr>
                <w:rFonts w:ascii="Garamond" w:hAnsi="Garamond"/>
                <w:sz w:val="22"/>
                <w:szCs w:val="22"/>
              </w:rPr>
              <w:t xml:space="preserve"> – 1 pkt.</w:t>
            </w:r>
          </w:p>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brak elastyczności</w:t>
            </w:r>
            <w:r w:rsidR="007D6AE5" w:rsidRPr="00487EB6">
              <w:rPr>
                <w:rFonts w:ascii="Garamond" w:hAnsi="Garamond"/>
                <w:sz w:val="22"/>
                <w:szCs w:val="22"/>
              </w:rPr>
              <w:t xml:space="preserv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Wspólne zasilanie pomp ze stacji dokującej</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Ładowanie pomp natychmiast po podłączeniu do stacji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montażu stacji dokującej na stojaku jezdnym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montażu stacji dokującej do kolumn pionowych (uwzględniających wagę zestawu łącznie z pompami)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7D6AE5"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najmniejsza waga</w:t>
            </w:r>
            <w:r w:rsidR="007D6AE5" w:rsidRPr="00487EB6">
              <w:rPr>
                <w:rFonts w:ascii="Garamond" w:hAnsi="Garamond"/>
                <w:sz w:val="22"/>
                <w:szCs w:val="22"/>
              </w:rPr>
              <w:t xml:space="preserve"> – 0,5 pkt.,</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pozostałe</w:t>
            </w:r>
            <w:r w:rsidR="007D6AE5" w:rsidRPr="00487EB6">
              <w:rPr>
                <w:rFonts w:ascii="Garamond" w:hAnsi="Garamond"/>
                <w:sz w:val="22"/>
                <w:szCs w:val="22"/>
              </w:rPr>
              <w:t xml:space="preserv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montażu stacji dokującej z wykorzystaniem standardowych szyn medycznych</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Łatwo dostrzegalna panel sygnalizacyjny</w:t>
            </w:r>
            <w:r w:rsidRPr="00487EB6">
              <w:rPr>
                <w:rFonts w:ascii="Garamond" w:hAnsi="Garamond"/>
                <w:strike/>
                <w:sz w:val="22"/>
                <w:szCs w:val="22"/>
              </w:rPr>
              <w:t xml:space="preserve"> </w:t>
            </w:r>
            <w:r w:rsidRPr="00487EB6">
              <w:rPr>
                <w:rFonts w:ascii="Garamond" w:hAnsi="Garamond"/>
                <w:sz w:val="22"/>
                <w:szCs w:val="22"/>
              </w:rPr>
              <w:t xml:space="preserve">wskazujący stan pompy zamocowanej do stacji: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Opcjonalna możliwość przyszłościowego włączenia roboczych stacji dokujących w system centralnego monitorowania infuzji oraz serwerowy </w:t>
            </w:r>
            <w:r w:rsidRPr="00487EB6">
              <w:rPr>
                <w:rFonts w:ascii="Garamond" w:hAnsi="Garamond"/>
                <w:sz w:val="22"/>
                <w:szCs w:val="22"/>
              </w:rPr>
              <w:lastRenderedPageBreak/>
              <w:t>system do zdalnego przesyłania zestawów danych i automatycznego zbierania danych infuzji</w:t>
            </w:r>
          </w:p>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u w:val="single"/>
              </w:rPr>
              <w:t>W celu przyszłej rozbudowy wymaga się aby w cenie oferty system posiadał już w swojej konfiguracji minimum n/w funkcjonalności: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kompatybilność stacji dokujących z oprogramowaniem umożliwiającym centralne monitorowanie infuzji</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możliwość jednoczasowego wyświetlania na jednym monitorze wszystkich stanowisk infuzji, bez konieczności, wywoływania kolejnych ekranów wymagana jest jednoczasowa obserwacja do min. 12 stanowisk infuzji jednoczasowo</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 wizualne rozróżnienie, różnych terapii dożylnych, w centrali monitorowania ( np. </w:t>
            </w:r>
            <w:proofErr w:type="spellStart"/>
            <w:r w:rsidRPr="00487EB6">
              <w:rPr>
                <w:rFonts w:ascii="Garamond" w:hAnsi="Garamond"/>
                <w:sz w:val="22"/>
                <w:szCs w:val="22"/>
              </w:rPr>
              <w:t>terapi</w:t>
            </w:r>
            <w:proofErr w:type="spellEnd"/>
            <w:r w:rsidRPr="00487EB6">
              <w:rPr>
                <w:rFonts w:ascii="Garamond" w:hAnsi="Garamond"/>
                <w:sz w:val="22"/>
                <w:szCs w:val="22"/>
              </w:rPr>
              <w:t xml:space="preserve"> TCI, TIVA, </w:t>
            </w:r>
            <w:proofErr w:type="spellStart"/>
            <w:r w:rsidRPr="00487EB6">
              <w:rPr>
                <w:rFonts w:ascii="Garamond" w:hAnsi="Garamond"/>
                <w:sz w:val="22"/>
                <w:szCs w:val="22"/>
              </w:rPr>
              <w:t>Enteral</w:t>
            </w:r>
            <w:proofErr w:type="spellEnd"/>
            <w:r w:rsidRPr="00487EB6">
              <w:rPr>
                <w:rFonts w:ascii="Garamond" w:hAnsi="Garamond"/>
                <w:sz w:val="22"/>
                <w:szCs w:val="22"/>
              </w:rPr>
              <w:t xml:space="preserve"> </w:t>
            </w:r>
            <w:proofErr w:type="spellStart"/>
            <w:r w:rsidRPr="00487EB6">
              <w:rPr>
                <w:rFonts w:ascii="Garamond" w:hAnsi="Garamond"/>
                <w:sz w:val="22"/>
                <w:szCs w:val="22"/>
              </w:rPr>
              <w:t>itp</w:t>
            </w:r>
            <w:proofErr w:type="spellEnd"/>
            <w:r w:rsidRPr="00487EB6">
              <w:rPr>
                <w:rFonts w:ascii="Garamond" w:hAnsi="Garamond"/>
                <w:sz w:val="22"/>
                <w:szCs w:val="22"/>
              </w:rPr>
              <w:t xml:space="preserve"> )w pompach objętościowych i </w:t>
            </w:r>
            <w:proofErr w:type="spellStart"/>
            <w:r w:rsidRPr="00487EB6">
              <w:rPr>
                <w:rFonts w:ascii="Garamond" w:hAnsi="Garamond"/>
                <w:sz w:val="22"/>
                <w:szCs w:val="22"/>
              </w:rPr>
              <w:t>strzykawkowych</w:t>
            </w:r>
            <w:proofErr w:type="spellEnd"/>
            <w:r w:rsidRPr="00487EB6">
              <w:rPr>
                <w:rFonts w:ascii="Garamond" w:hAnsi="Garamond"/>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wyświetlanie alarmów na stanowisku centralnym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przeglądanie historii infuzji u każdego pacjenta na stanowisku centralnym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tworzenie bilansu płynów na stanowisku centralnym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 transfer zestawów danych do i z pomp poprzez sieć szpitalną, bez konieczności przerywania infuzji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natychmiastowa możliwość zlokalizowania pomp w systemie</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Komunikacja ze szpitalną siecią komputerową i bezpośrednio z komputerem za pomocą interfejsu Ethernet lub/i za pomocą bezprzewodowego połączenia sieciowego</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rozbudowy stacji o adapter do łączności bezprzewodowej ze szpitalną siecią komputerową</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trike/>
                <w:sz w:val="22"/>
                <w:szCs w:val="22"/>
              </w:rPr>
            </w:pPr>
          </w:p>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b/>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p w:rsidR="0057259B" w:rsidRPr="00487EB6" w:rsidRDefault="0057259B" w:rsidP="000D5ED2">
            <w:pPr>
              <w:snapToGrid w:val="0"/>
              <w:spacing w:line="288" w:lineRule="auto"/>
              <w:jc w:val="both"/>
              <w:rPr>
                <w:rFonts w:ascii="Garamond" w:hAnsi="Garamond"/>
                <w:sz w:val="22"/>
                <w:szCs w:val="22"/>
              </w:rPr>
            </w:pPr>
            <w:r w:rsidRPr="00487EB6">
              <w:rPr>
                <w:rFonts w:ascii="Garamond" w:hAnsi="Garamond"/>
                <w:sz w:val="22"/>
                <w:szCs w:val="22"/>
              </w:rPr>
              <w:t>tak – 3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przeglądania z zewnętrznego komputera lub komputera w sieci statusu infuzji i rejestru zdarzeń stacji z wykorzystaniem standardowej przeglądarki internetowej</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Kompatybilność z systemem PDMS co najmniej dla firm Philips, </w:t>
            </w:r>
            <w:proofErr w:type="spellStart"/>
            <w:r w:rsidRPr="00487EB6">
              <w:rPr>
                <w:rFonts w:ascii="Garamond" w:hAnsi="Garamond"/>
                <w:sz w:val="22"/>
                <w:szCs w:val="22"/>
              </w:rPr>
              <w:t>Draeger</w:t>
            </w:r>
            <w:proofErr w:type="spellEnd"/>
            <w:r w:rsidRPr="00487EB6">
              <w:rPr>
                <w:rFonts w:ascii="Garamond" w:hAnsi="Garamond"/>
                <w:sz w:val="22"/>
                <w:szCs w:val="22"/>
              </w:rPr>
              <w:t xml:space="preserve">, GE, </w:t>
            </w:r>
            <w:proofErr w:type="spellStart"/>
            <w:r w:rsidRPr="00487EB6">
              <w:rPr>
                <w:rFonts w:ascii="Garamond" w:hAnsi="Garamond"/>
                <w:sz w:val="22"/>
                <w:szCs w:val="22"/>
              </w:rPr>
              <w:t>LowTec</w:t>
            </w:r>
            <w:proofErr w:type="spellEnd"/>
            <w:r w:rsidRPr="00487EB6">
              <w:rPr>
                <w:rFonts w:ascii="Garamond" w:hAnsi="Garamond"/>
                <w:sz w:val="22"/>
                <w:szCs w:val="22"/>
              </w:rPr>
              <w:t xml:space="preserve">, </w:t>
            </w:r>
            <w:proofErr w:type="spellStart"/>
            <w:r w:rsidRPr="00487EB6">
              <w:rPr>
                <w:rFonts w:ascii="Garamond" w:hAnsi="Garamond"/>
                <w:sz w:val="22"/>
                <w:szCs w:val="22"/>
              </w:rPr>
              <w:t>iMDsoft</w:t>
            </w:r>
            <w:proofErr w:type="spellEnd"/>
            <w:r w:rsidRPr="00487EB6">
              <w:rPr>
                <w:rFonts w:ascii="Garamond" w:hAnsi="Garamond"/>
                <w:sz w:val="22"/>
                <w:szCs w:val="22"/>
              </w:rPr>
              <w:t xml:space="preserve">, </w:t>
            </w:r>
            <w:proofErr w:type="spellStart"/>
            <w:r w:rsidRPr="00487EB6">
              <w:rPr>
                <w:rFonts w:ascii="Garamond" w:hAnsi="Garamond"/>
                <w:sz w:val="22"/>
                <w:szCs w:val="22"/>
              </w:rPr>
              <w:t>CapsuleTech</w:t>
            </w:r>
            <w:proofErr w:type="spellEnd"/>
            <w:r w:rsidRPr="00487EB6">
              <w:rPr>
                <w:rFonts w:ascii="Garamond" w:hAnsi="Garamond"/>
                <w:sz w:val="22"/>
                <w:szCs w:val="22"/>
              </w:rPr>
              <w:t xml:space="preserve">, </w:t>
            </w:r>
            <w:proofErr w:type="spellStart"/>
            <w:r w:rsidRPr="00487EB6">
              <w:rPr>
                <w:rFonts w:ascii="Garamond" w:hAnsi="Garamond"/>
                <w:sz w:val="22"/>
                <w:szCs w:val="22"/>
              </w:rPr>
              <w:t>Epic</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Zabezpieczenie interfejsu konfiguracyjnego stacji dokującej hasłem</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Interfejs komunikacyjny dwukierunkowy </w:t>
            </w:r>
            <w:r w:rsidRPr="00487EB6">
              <w:rPr>
                <w:rFonts w:ascii="Garamond" w:hAnsi="Garamond"/>
                <w:sz w:val="22"/>
                <w:szCs w:val="22"/>
              </w:rPr>
              <w:lastRenderedPageBreak/>
              <w:t>pozwalający na przesyłanie informacji do systemu HIS i zaciąganie z systemu HIS minimum danych pacjenta w standardzie HL7 przy użyciu zewnętrznego oprogramowania</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Podtrzymanie zasilania stacji oraz komunikacji pompa-stacja dokująca oraz stacja dokująca-szpitalna sieć komputerowa w przypadku odłączenia zasilania z gniazda sieciowego przez minimum 60 minut</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Szybkie ładowanie </w:t>
            </w:r>
            <w:proofErr w:type="spellStart"/>
            <w:r w:rsidRPr="00487EB6">
              <w:rPr>
                <w:rFonts w:ascii="Garamond" w:hAnsi="Garamond"/>
                <w:sz w:val="22"/>
                <w:szCs w:val="22"/>
              </w:rPr>
              <w:t>akmumulatorów</w:t>
            </w:r>
            <w:proofErr w:type="spellEnd"/>
            <w:r w:rsidRPr="00487EB6">
              <w:rPr>
                <w:rFonts w:ascii="Garamond" w:hAnsi="Garamond"/>
                <w:sz w:val="22"/>
                <w:szCs w:val="22"/>
              </w:rPr>
              <w:t xml:space="preserve"> Stacji roboczej – od całkowitego rozładowania do naładowania </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Wymiana akumulatora przez użytkownika bez użycia specjalnych narzędzi i wykonywania przeglądu technicznego</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b/>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7D6AE5" w:rsidP="000D5ED2">
            <w:pPr>
              <w:snapToGrid w:val="0"/>
              <w:spacing w:line="288" w:lineRule="auto"/>
              <w:jc w:val="both"/>
              <w:rPr>
                <w:rFonts w:ascii="Garamond" w:hAnsi="Garamond"/>
                <w:sz w:val="22"/>
                <w:szCs w:val="22"/>
              </w:rPr>
            </w:pPr>
            <w:r w:rsidRPr="00487EB6">
              <w:rPr>
                <w:rFonts w:ascii="Garamond" w:hAnsi="Garamond"/>
                <w:sz w:val="22"/>
                <w:szCs w:val="22"/>
              </w:rPr>
              <w:t>t</w:t>
            </w:r>
            <w:r w:rsidR="0057259B" w:rsidRPr="00487EB6">
              <w:rPr>
                <w:rFonts w:ascii="Garamond" w:hAnsi="Garamond"/>
                <w:sz w:val="22"/>
                <w:szCs w:val="22"/>
              </w:rPr>
              <w:t>ak – 0,5 pkt, Nie – 0 pkt</w:t>
            </w:r>
          </w:p>
          <w:p w:rsidR="0057259B" w:rsidRPr="00487EB6" w:rsidRDefault="0057259B" w:rsidP="000D5ED2">
            <w:pPr>
              <w:snapToGrid w:val="0"/>
              <w:spacing w:line="288" w:lineRule="auto"/>
              <w:jc w:val="center"/>
              <w:rPr>
                <w:rFonts w:ascii="Garamond" w:hAnsi="Garamond"/>
                <w:strike/>
                <w:sz w:val="22"/>
                <w:szCs w:val="22"/>
              </w:rPr>
            </w:pPr>
          </w:p>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xml:space="preserve">- -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Przypomnienie o konieczności podłączenia przewodu zasilającego po jego odłączeniu</w:t>
            </w: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Oferowane urządzenia muszą spełniać normę  EN 60601 </w:t>
            </w:r>
          </w:p>
          <w:p w:rsidR="0057259B" w:rsidRPr="00487EB6" w:rsidRDefault="0057259B"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Objętość zajmowana przez stacje dokującą [cm3]</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najmniejsza objętość – 2 pkt, pozostałe – 0 pkt.</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b/>
                <w:sz w:val="22"/>
                <w:szCs w:val="22"/>
              </w:rPr>
              <w:t xml:space="preserve">Oprogramowanie z licencjami </w:t>
            </w:r>
            <w:r w:rsidRPr="00487EB6">
              <w:rPr>
                <w:rFonts w:ascii="Garamond" w:hAnsi="Garamond"/>
                <w:b/>
                <w:sz w:val="22"/>
                <w:szCs w:val="22"/>
              </w:rPr>
              <w:lastRenderedPageBreak/>
              <w:t>bezterminowymi do zarządzania infuzją – 1 szt. dla 65 stanowisk OIOM; w okresie użytkowania aktualizacje do najnowszych wersji (w cenie oferty)</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Platforma aplikacji do bezpiecznego i efektywnego zarządzania infuzją</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Łączność ze stacjami dokującymi przy łóżku pacjenta odbywa się poprzez sieć Ethernet lub </w:t>
            </w:r>
            <w:proofErr w:type="spellStart"/>
            <w:r w:rsidRPr="00487EB6">
              <w:rPr>
                <w:rFonts w:ascii="Garamond" w:hAnsi="Garamond"/>
                <w:sz w:val="22"/>
                <w:szCs w:val="22"/>
              </w:rPr>
              <w:t>WiFi</w:t>
            </w:r>
            <w:proofErr w:type="spellEnd"/>
            <w:r w:rsidRPr="00487EB6">
              <w:rPr>
                <w:rFonts w:ascii="Garamond" w:hAnsi="Garamond"/>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Przydział odpowiednich uprawnień dla użytkowników, dostęp zabezpieczony hasłem</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Moduł obserwacji infuzji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Oprogramowanie do monitorowania przebiegu infuzji na poszczególnych stanowiskach z wyszczególnieniem leków, dawek, stężeń oraz danych o ilościach płynów podanych, bądź pozostałych do końca infuzji.  </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Na ekranie komputera system wyświetla: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Schemat rozmieszczenia łóżek zbliżony do rzeczywistego</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Informacje o pacjencie</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Okno zawierające informacje o bieżących </w:t>
            </w:r>
            <w:r w:rsidRPr="00487EB6">
              <w:rPr>
                <w:rFonts w:ascii="Garamond" w:hAnsi="Garamond"/>
                <w:sz w:val="22"/>
                <w:szCs w:val="22"/>
              </w:rPr>
              <w:lastRenderedPageBreak/>
              <w:t>infuzjach, terminach zakończenia infuzji w poszczególnych pompach - zbliżające się alarmy wstępne (np. zbliżający się koniec infuzji)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Przyczyna alarmu ze wskazaniem pompy w której został wywołany (rodzaj pompy, łóżko pacjenta, sala chorych)</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Informacje o alarmach przerywających infuzję (np. alarm okluzji)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Informacje o lekach podawanych w pompach</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Moduł bibliotek leków</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Oprogramowanie do projektowania bibliotek leków, z możliwością:</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zapisania min. 1200 leków,</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 </w:t>
            </w:r>
            <w:proofErr w:type="spellStart"/>
            <w:r w:rsidRPr="00487EB6">
              <w:rPr>
                <w:rFonts w:ascii="Garamond" w:hAnsi="Garamond"/>
                <w:sz w:val="22"/>
                <w:szCs w:val="22"/>
              </w:rPr>
              <w:t>przypiosania</w:t>
            </w:r>
            <w:proofErr w:type="spellEnd"/>
            <w:r w:rsidRPr="00487EB6">
              <w:rPr>
                <w:rFonts w:ascii="Garamond" w:hAnsi="Garamond"/>
                <w:sz w:val="22"/>
                <w:szCs w:val="22"/>
              </w:rPr>
              <w:t xml:space="preserve"> min. 5 stężeń,</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podziału na min. 30 kategorii lekowych,</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min. 15 profili pacjentów,</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 min. 30 </w:t>
            </w:r>
            <w:proofErr w:type="spellStart"/>
            <w:r w:rsidRPr="00487EB6">
              <w:rPr>
                <w:rFonts w:ascii="Garamond" w:hAnsi="Garamond"/>
                <w:sz w:val="22"/>
                <w:szCs w:val="22"/>
              </w:rPr>
              <w:t>obsarów</w:t>
            </w:r>
            <w:proofErr w:type="spellEnd"/>
            <w:r w:rsidRPr="00487EB6">
              <w:rPr>
                <w:rFonts w:ascii="Garamond" w:hAnsi="Garamond"/>
                <w:sz w:val="22"/>
                <w:szCs w:val="22"/>
              </w:rPr>
              <w:t xml:space="preserve"> leczenia.</w:t>
            </w:r>
          </w:p>
          <w:p w:rsidR="00191483" w:rsidRPr="00487EB6" w:rsidRDefault="00191483" w:rsidP="000D5ED2">
            <w:pPr>
              <w:snapToGrid w:val="0"/>
              <w:spacing w:line="288" w:lineRule="auto"/>
              <w:rPr>
                <w:rFonts w:ascii="Garamond" w:hAnsi="Garamond"/>
                <w:sz w:val="22"/>
                <w:szCs w:val="22"/>
              </w:rPr>
            </w:pPr>
          </w:p>
          <w:p w:rsidR="00191483" w:rsidRPr="00487EB6" w:rsidRDefault="00191483" w:rsidP="000D5ED2">
            <w:pPr>
              <w:snapToGrid w:val="0"/>
              <w:spacing w:line="288" w:lineRule="auto"/>
              <w:rPr>
                <w:rFonts w:ascii="Garamond" w:hAnsi="Garamond"/>
                <w:sz w:val="22"/>
                <w:szCs w:val="22"/>
              </w:rPr>
            </w:pPr>
          </w:p>
          <w:p w:rsidR="00191483" w:rsidRPr="00487EB6" w:rsidRDefault="00191483"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Przypisanie dla każdego leku limitów miękkich i twardych</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Konfiguracja parametrów wstępnych terapii dla każdego leku</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Zdalne przesyłanie bibliotek do pomp włączonych do systemu</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Moduł statystyk i analiz</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Oprogramowanie do prowadzenia statystyk i analiz na różnych poziomach kompetencji personelu</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Standard"/>
              <w:snapToGrid w:val="0"/>
              <w:spacing w:line="288" w:lineRule="auto"/>
              <w:jc w:val="center"/>
              <w:rPr>
                <w:rFonts w:ascii="Garamond" w:hAnsi="Garamond"/>
                <w:b/>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Tak – 1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Możliwość wygenerowania raportu o dawkowaniu leków</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Tak – 0,2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Możliwość wygenerowania raportu o ilości zużytych leków (na stanowisko)</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Tak – 0,2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Możliwość zapisania raportu jako plik pdf lub </w:t>
            </w:r>
            <w:proofErr w:type="spellStart"/>
            <w:r w:rsidRPr="00487EB6">
              <w:rPr>
                <w:rFonts w:ascii="Garamond" w:hAnsi="Garamond"/>
                <w:sz w:val="22"/>
                <w:szCs w:val="22"/>
              </w:rPr>
              <w:t>excel</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Tak – 0,2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Moduł nadzoru urządzeń (elektroniczny paszport techniczny)</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Tak – 0,2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Oprogramowanie automatycznie gromadzące informacje o urządzeniach podłączonych do systemu, umożliwiające nadzór nad systemem infuzyjnym</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Prezentacja w formie tabeli podłączonych urządzeń, oraz filtrowanie sposobu wyświetlania </w:t>
            </w:r>
            <w:r w:rsidRPr="00487EB6">
              <w:rPr>
                <w:rFonts w:ascii="Garamond" w:hAnsi="Garamond"/>
                <w:sz w:val="22"/>
                <w:szCs w:val="22"/>
              </w:rPr>
              <w:lastRenderedPageBreak/>
              <w:t>(np. lokalizacja, typ urządzenia)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W przypadku utraty łączności z urządzeniem system wyświetla informację o lokalizacji: ostatnio widzianej</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Przypisanie dla każdego urządzenia numeru inwentarzowego nadanego w jednostce</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Przypisanie dla każdego urządzenia daty przeglądu technicznego, oraz późniejszego wygenerowania raportu pdf lub </w:t>
            </w:r>
            <w:proofErr w:type="spellStart"/>
            <w:r w:rsidRPr="00487EB6">
              <w:rPr>
                <w:rFonts w:ascii="Garamond" w:hAnsi="Garamond"/>
                <w:sz w:val="22"/>
                <w:szCs w:val="22"/>
              </w:rPr>
              <w:t>excel</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Moduł pozwalający na analizę infuzji w różnych wymiarach (m.in. na lek, na pacjenta) z możliwością generowania raportów kosztowych</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Tak – 1 pkt. Nie – 0 pkt.</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b/>
                <w:sz w:val="22"/>
                <w:szCs w:val="22"/>
              </w:rPr>
              <w:t>tester do pomp  – 1 szt.</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Pomiary co najmniej:</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pomiar przepływu i ciśnienia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okluzja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bolus</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wykresy w czasie rzeczywistym</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kompatybilny ze wszystkimi rodzajami pomp infuzyjnych</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niezależna praca wszystkich kanałów</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zdalna kontrola z poziomu oprogramowania </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Generowanie raportów do wydruku</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Oferowany tester posiada świadectwo wzorcowania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Urządzenie przystosowane do wykonywania kompletu testów wymaganych do pełnego przeglądu pompy infuzyjnej</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Uniwersalny tester do pomp wszystkich typów i producentów</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Tester 4 kanałowy</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Złącze USB i/lub Bluetooth do komunikacji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Oryginalna torba do przechowywani</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Uwaga – Zamawiający dopuszcza opakowanie zastępcze (walizka), jeśli nie występuje opakowanie oryginalne</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Dodatkowy tester do pomp, stacji dedykowany do zaoferowanych POMP (1 </w:t>
            </w:r>
            <w:proofErr w:type="spellStart"/>
            <w:r w:rsidRPr="00487EB6">
              <w:rPr>
                <w:rFonts w:ascii="Garamond" w:hAnsi="Garamond"/>
                <w:sz w:val="22"/>
                <w:szCs w:val="22"/>
              </w:rPr>
              <w:t>szt</w:t>
            </w:r>
            <w:proofErr w:type="spellEnd"/>
            <w:r w:rsidRPr="00487EB6">
              <w:rPr>
                <w:rFonts w:ascii="Garamond" w:hAnsi="Garamond"/>
                <w:sz w:val="22"/>
                <w:szCs w:val="22"/>
              </w:rPr>
              <w:t>) pozwalający na wykonywanie pełnych przeglądów producenckich pomp wraz z możliwością odnotowywania przeglądu autoryzowanego (kasowanie alarmu przeglądu po jego wykonaniu) w sprzęcie oraz drukowanie raportów pełnego przeglądu zgodnie z wymogami producenta.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b/>
                <w:sz w:val="22"/>
                <w:szCs w:val="22"/>
              </w:rPr>
              <w:t>Tester bezpieczeństwa elektrycznego – 1 szt.</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Ciągłość uziemienia DC</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Rezystancja Izolacji 50V, 100V, 250V, 500V lub napięcie testu rezystancji izolacji 250V i 500V, zgodnie z normą PN EN 62353</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Bezpośredni test upływu</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Różnicowy test upływu</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Alternatywny test upływu</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Test obciążenia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Test napięcia zasilania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Test Przewodów IEC</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trike/>
                <w:sz w:val="22"/>
                <w:szCs w:val="22"/>
              </w:rPr>
            </w:pPr>
            <w:r w:rsidRPr="00487EB6">
              <w:rPr>
                <w:rFonts w:ascii="Garamond" w:hAnsi="Garamond"/>
                <w:strike/>
                <w:sz w:val="22"/>
                <w:szCs w:val="22"/>
              </w:rPr>
              <w:t>Cechy:</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Polskie menu</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Pełna zgodność z normą PN EN 62353</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Test do 2 </w:t>
            </w:r>
            <w:proofErr w:type="spellStart"/>
            <w:r w:rsidRPr="00487EB6">
              <w:rPr>
                <w:rFonts w:ascii="Garamond" w:hAnsi="Garamond"/>
                <w:sz w:val="22"/>
                <w:szCs w:val="22"/>
              </w:rPr>
              <w:t>odprowadzeń</w:t>
            </w:r>
            <w:proofErr w:type="spellEnd"/>
            <w:r w:rsidRPr="00487EB6">
              <w:rPr>
                <w:rFonts w:ascii="Garamond" w:hAnsi="Garamond"/>
                <w:sz w:val="22"/>
                <w:szCs w:val="22"/>
              </w:rPr>
              <w:t xml:space="preserve"> przyłączy pacjenta lub tester o 5 </w:t>
            </w:r>
            <w:proofErr w:type="spellStart"/>
            <w:r w:rsidRPr="00487EB6">
              <w:rPr>
                <w:rFonts w:ascii="Garamond" w:hAnsi="Garamond"/>
                <w:sz w:val="22"/>
                <w:szCs w:val="22"/>
              </w:rPr>
              <w:t>odprowadzeniach</w:t>
            </w:r>
            <w:proofErr w:type="spellEnd"/>
            <w:r w:rsidRPr="00487EB6">
              <w:rPr>
                <w:rFonts w:ascii="Garamond" w:hAnsi="Garamond"/>
                <w:sz w:val="22"/>
                <w:szCs w:val="22"/>
              </w:rPr>
              <w:t xml:space="preserve"> pacjenta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Konfigurowalne sekwencje testów</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Duży, czytelny wyświetlacz i wbudowana klawiatura lub rozwiązanie polegające na stosowaniu zewnętrznej klawiatury USB lub skanera kodów kreskowych</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Przesyłanie wyników poprzez RS232 wraz z </w:t>
            </w:r>
            <w:r w:rsidRPr="00487EB6">
              <w:rPr>
                <w:rFonts w:ascii="Garamond" w:hAnsi="Garamond"/>
                <w:sz w:val="22"/>
                <w:szCs w:val="22"/>
              </w:rPr>
              <w:lastRenderedPageBreak/>
              <w:t>kablem lub zamiast RS232 korzystanie z komunikacji USB lub karty SD</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Pamięć wyników</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Przenośny, zasilany bateryjnie lub tester z zasilaniem tylko sieciowym</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Tryb manualny, automatyczny i półautomatyczny</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Skład kompletu:</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Tester </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Proste oprogramowanie do przesyłania wyników</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Świadectwo wzorcowania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Sonda z klipsem</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Sonda ostrzowa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Torba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2 odprowadzeniowy kabel części aplikacyjnych lub adapter do 5 </w:t>
            </w:r>
            <w:proofErr w:type="spellStart"/>
            <w:r w:rsidRPr="00487EB6">
              <w:rPr>
                <w:rFonts w:ascii="Garamond" w:hAnsi="Garamond"/>
                <w:sz w:val="22"/>
                <w:szCs w:val="22"/>
              </w:rPr>
              <w:t>odprowadzeń</w:t>
            </w:r>
            <w:proofErr w:type="spellEnd"/>
            <w:r w:rsidRPr="00487EB6">
              <w:rPr>
                <w:rFonts w:ascii="Garamond" w:hAnsi="Garamond"/>
                <w:sz w:val="22"/>
                <w:szCs w:val="22"/>
              </w:rPr>
              <w:t xml:space="preserve"> pacjenta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Przewód zasilający</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b/>
                <w:sz w:val="22"/>
                <w:szCs w:val="22"/>
              </w:rPr>
              <w:t>Stacja do pracy pomp w środowisku MRI – 1 szt.</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Urządzenie mobilne, do pracy w środowisku MRI, pozwalające na jednoczasowe dokowanie do min. 4 pomp infuzyjnych</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Uwaga – Zamawiający dopuszcza rozwiązanie </w:t>
            </w:r>
            <w:r w:rsidRPr="00487EB6">
              <w:rPr>
                <w:rFonts w:ascii="Garamond" w:hAnsi="Garamond"/>
                <w:sz w:val="22"/>
                <w:szCs w:val="22"/>
              </w:rPr>
              <w:lastRenderedPageBreak/>
              <w:t>polegające na możliwości użycia jednego portu komunikacyjnego (COM) na jedno stanowisko</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Urządzenie kompatybilne z pompami </w:t>
            </w:r>
            <w:proofErr w:type="spellStart"/>
            <w:r w:rsidRPr="00487EB6">
              <w:rPr>
                <w:rFonts w:ascii="Garamond" w:hAnsi="Garamond"/>
                <w:sz w:val="22"/>
                <w:szCs w:val="22"/>
              </w:rPr>
              <w:t>strzykawkowymi</w:t>
            </w:r>
            <w:proofErr w:type="spellEnd"/>
            <w:r w:rsidRPr="00487EB6">
              <w:rPr>
                <w:rFonts w:ascii="Garamond" w:hAnsi="Garamond"/>
                <w:sz w:val="22"/>
                <w:szCs w:val="22"/>
              </w:rPr>
              <w:t xml:space="preserve"> i objętościowymi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zintegrowany system ciągłego pomiaru siły pola magnetycznego, pozwalający na bezpieczne umieszczenie go w stosunku do skanera MRI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System pomiaru siły pola magnetycznego </w:t>
            </w:r>
            <w:r w:rsidRPr="00487EB6">
              <w:rPr>
                <w:rFonts w:ascii="Garamond" w:hAnsi="Garamond"/>
                <w:strike/>
                <w:sz w:val="22"/>
                <w:szCs w:val="22"/>
              </w:rPr>
              <w:t>powinien być</w:t>
            </w:r>
            <w:r w:rsidRPr="00487EB6">
              <w:rPr>
                <w:rFonts w:ascii="Garamond" w:hAnsi="Garamond"/>
                <w:sz w:val="22"/>
                <w:szCs w:val="22"/>
              </w:rPr>
              <w:t xml:space="preserve"> wyposażony w wizualny i dźwiękowy alarm. </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Urządzenie mobilne, do pracy w środowisku MRI w skanerze 1,5 T i 3,0 T</w:t>
            </w:r>
          </w:p>
          <w:p w:rsidR="00191483" w:rsidRPr="00487EB6" w:rsidRDefault="00191483" w:rsidP="000D5ED2">
            <w:pPr>
              <w:snapToGrid w:val="0"/>
              <w:spacing w:line="288" w:lineRule="auto"/>
              <w:rPr>
                <w:rFonts w:ascii="Garamond" w:hAnsi="Garamond"/>
                <w:sz w:val="22"/>
                <w:szCs w:val="22"/>
              </w:rPr>
            </w:pP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Na wyposażeniu: niezależna od stacji pompa infuzyjna – 1 szt. (dopuszcza się wyrób innego producenta) przystosowana do pracy w polu magnetycznym bez użycia klatki Faradaya.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Urządzenie mobilne z możliwością włączania hamulców na min. 2 kołach</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Zasilanie sieciowe 115-230 V, 50-60Hz oraz zasilanie bateryjne</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Gwarantowany czas pracy po pełnym </w:t>
            </w:r>
            <w:r w:rsidRPr="00487EB6">
              <w:rPr>
                <w:rFonts w:ascii="Garamond" w:hAnsi="Garamond"/>
                <w:sz w:val="22"/>
                <w:szCs w:val="22"/>
              </w:rPr>
              <w:lastRenderedPageBreak/>
              <w:t>naładowaniu baterii przy podłączeniu wszystkich pomp infuzyjnych -</w:t>
            </w:r>
            <w:r w:rsidRPr="00487EB6">
              <w:rPr>
                <w:rFonts w:ascii="Garamond" w:hAnsi="Garamond"/>
                <w:strike/>
                <w:sz w:val="22"/>
                <w:szCs w:val="22"/>
              </w:rPr>
              <w:t xml:space="preserve"> </w:t>
            </w:r>
            <w:r w:rsidRPr="00487EB6">
              <w:rPr>
                <w:rFonts w:ascii="Garamond" w:hAnsi="Garamond"/>
                <w:sz w:val="22"/>
                <w:szCs w:val="22"/>
              </w:rPr>
              <w:t>nie mniej niż 60 minut ciągłej pracy</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Stopień uszczelnienia obudowy min. IPX2 lub stopień  uszczelnienia obudowy IP 21</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Wieszak na worki z płynami infuzyjnymi o regulowanej wysokości z możliwością jego demontażu, każdy pozwalający na umieszczenie ciężaru minimum 2 kg – podać łączną wartość obciążenia wieszaków</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Łatwo dostrzegalna panel sygnalizacyjny</w:t>
            </w:r>
            <w:r w:rsidRPr="00487EB6">
              <w:rPr>
                <w:rFonts w:ascii="Garamond" w:hAnsi="Garamond"/>
                <w:strike/>
                <w:sz w:val="22"/>
                <w:szCs w:val="22"/>
              </w:rPr>
              <w:t xml:space="preserve"> </w:t>
            </w:r>
            <w:r w:rsidRPr="00487EB6">
              <w:rPr>
                <w:rFonts w:ascii="Garamond" w:hAnsi="Garamond"/>
                <w:sz w:val="22"/>
                <w:szCs w:val="22"/>
              </w:rPr>
              <w:t>wskazujący stan pompy zamocowanej do stacji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Urządzenie powinno wskazywać co najmniej :</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wyłączenie zasilania sieciowego</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alarm pompy</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praca na zasilaniu sieciowym</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praca na zasilaniu bateryjnym</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bliski status rozładowania baterii</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alarm dla zakresu bezpiecznej pracy w środowisku MRI                ( odległość pracy od otworu tunelu magnesu )</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 alarm uszkodzenia systemu </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Zatrzaskowy system montowania pomp w urządzeniu</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Oferowane urządzenia muszą spełniać normę IEC/EN60601-1, IEC/EN60601-1-2; ETSI EN 301489-17 oraz </w:t>
            </w:r>
            <w:proofErr w:type="spellStart"/>
            <w:r w:rsidRPr="00487EB6">
              <w:rPr>
                <w:rFonts w:ascii="Garamond" w:hAnsi="Garamond"/>
                <w:sz w:val="22"/>
                <w:szCs w:val="22"/>
              </w:rPr>
              <w:t>Dyrektywe</w:t>
            </w:r>
            <w:proofErr w:type="spellEnd"/>
            <w:r w:rsidRPr="00487EB6">
              <w:rPr>
                <w:rFonts w:ascii="Garamond" w:hAnsi="Garamond"/>
                <w:sz w:val="22"/>
                <w:szCs w:val="22"/>
              </w:rPr>
              <w:t xml:space="preserve"> Emisji Radiowej 2014/53/EU lub urządzenie zarejestrowane jako wyrób medyczny, spełniające normy kompatybilności elektromagnetycznej w zakresie wymaganych zgodnie z ustawą dla wyrobów medycznych to jest norm IEC/EN60601-1, IEC/EN60601-1-2</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b/>
                <w:sz w:val="22"/>
                <w:szCs w:val="22"/>
              </w:rPr>
              <w:t>Pompy infuzyjne TCI-TIVA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Zabezpieczenie pompy przed przypadkowym zalaniem układów mechaniki i elektroniki, podać stopień ochrony IP – wymagany nie mniej niż IP22</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57259B">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Pompa </w:t>
            </w:r>
            <w:proofErr w:type="spellStart"/>
            <w:r w:rsidRPr="00487EB6">
              <w:rPr>
                <w:rFonts w:ascii="Garamond" w:hAnsi="Garamond"/>
                <w:sz w:val="22"/>
                <w:szCs w:val="22"/>
              </w:rPr>
              <w:t>strzykawkowa</w:t>
            </w:r>
            <w:proofErr w:type="spellEnd"/>
            <w:r w:rsidRPr="00487EB6">
              <w:rPr>
                <w:rFonts w:ascii="Garamond" w:hAnsi="Garamond"/>
                <w:sz w:val="22"/>
                <w:szCs w:val="22"/>
              </w:rPr>
              <w:t xml:space="preserve"> sterowana elektronicznie umożliwiająca współpracę z systemem centralnego zasilania i zarządzania danymi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Strzykawka mocowana od przodu automatycznie (wersja 1)</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lub</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lastRenderedPageBreak/>
              <w:t>Strzykawka mocowana od przodu manualnie, tj. możliwość zamocowania strzykawki zarówno przy włączonej jak i wyłączonej pompie (wersja 2)</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Wersja 1 – 2 pkt.</w:t>
            </w:r>
          </w:p>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Wersja 2 – 1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Zatrzaskowe mocowanie i współpracy ze stacją dokującą (pompa umieszczona w stacji dokującej jest z niej bezpośrednio zasilana)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Zasilanie przy użyciu zasilacza zewnętrznego lub bezpośrednio z sieci za pomocą kabla </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r w:rsidRPr="00487EB6">
              <w:rPr>
                <w:rFonts w:ascii="Garamond" w:hAnsi="Garamond"/>
                <w:sz w:val="22"/>
                <w:szCs w:val="22"/>
              </w:rPr>
              <w: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Czas pracy z akumulatora min. 6 godzin</w:t>
            </w:r>
            <w:r w:rsidR="007D6AE5" w:rsidRPr="00487EB6">
              <w:rPr>
                <w:rFonts w:ascii="Garamond" w:hAnsi="Garamond"/>
                <w:sz w:val="22"/>
                <w:szCs w:val="22"/>
              </w:rPr>
              <w:t xml:space="preserve"> </w:t>
            </w:r>
            <w:r w:rsidRPr="00487EB6">
              <w:rPr>
                <w:rFonts w:ascii="Garamond" w:hAnsi="Garamond"/>
                <w:sz w:val="22"/>
                <w:szCs w:val="22"/>
              </w:rPr>
              <w:t>przy infuzji 5ml/godz.</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 10 godzin – 1 pkt.</w:t>
            </w:r>
          </w:p>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 25 godzin – 2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Masa pompy max. 2,4 kg</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r w:rsidRPr="00487EB6">
              <w:rPr>
                <w:rFonts w:ascii="Garamond" w:hAnsi="Garamond"/>
                <w:sz w:val="22"/>
                <w:szCs w:val="22"/>
              </w:rPr>
              <w: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Mocowanie pompy do rury pionowej, kolumny lub poziomej szyny przy pomocy odłączalnego uchwytu lub uchwytu na stałe wbudowanego w pompę.</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Cała strzykawka stale widoczna podczas pracy pompy – możliwość odczytania objętości ze skali oraz wizualnej kontroli procesu infuzji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Podświetlany ekran i przyciski lub pompy z podświetlanym ekranem  bez podświetlania klawiatury (klawiatura symboliczna, która nie wymaga doświetlenia).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Czytelny wyświetlacz z możliwością wyświetlenia minimum następujących informacji:</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nazwa leku,</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koncentracja leku,</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prędkość infuzji,</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podana dawka,</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stan naładowania akumulatora,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Przekątna ekranu w calach</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r w:rsidRPr="00487EB6">
              <w:rPr>
                <w:rFonts w:ascii="Garamond" w:hAnsi="Garamond"/>
                <w:sz w:val="22"/>
                <w:szCs w:val="22"/>
              </w:rPr>
              <w:t>Największa wartość  – 1 pkt.</w:t>
            </w:r>
          </w:p>
          <w:p w:rsidR="00191483" w:rsidRPr="00487EB6" w:rsidRDefault="00191483" w:rsidP="000D5ED2">
            <w:pPr>
              <w:spacing w:line="288" w:lineRule="auto"/>
              <w:jc w:val="center"/>
              <w:rPr>
                <w:rFonts w:ascii="Garamond" w:hAnsi="Garamond"/>
                <w:sz w:val="22"/>
                <w:szCs w:val="22"/>
              </w:rPr>
            </w:pPr>
            <w:r w:rsidRPr="00487EB6">
              <w:rPr>
                <w:rFonts w:ascii="Garamond" w:hAnsi="Garamond"/>
                <w:sz w:val="22"/>
                <w:szCs w:val="22"/>
              </w:rPr>
              <w:t>Pozostałe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Mechanizm blokujący tłok zapobiegający samoczynnemu opróżnianiu strzykawki, </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Automatyczna funkcja </w:t>
            </w:r>
            <w:proofErr w:type="spellStart"/>
            <w:r w:rsidRPr="00487EB6">
              <w:rPr>
                <w:rFonts w:ascii="Garamond" w:hAnsi="Garamond"/>
                <w:sz w:val="22"/>
                <w:szCs w:val="22"/>
              </w:rPr>
              <w:t>antybolus</w:t>
            </w:r>
            <w:proofErr w:type="spellEnd"/>
            <w:r w:rsidRPr="00487EB6">
              <w:rPr>
                <w:rFonts w:ascii="Garamond" w:hAnsi="Garamond"/>
                <w:sz w:val="22"/>
                <w:szCs w:val="22"/>
              </w:rPr>
              <w:t xml:space="preserve"> po okluzji – zabezpieczenie przed podaniem niekontrolowanego bolusa po alarmie okluzji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trike/>
                <w:sz w:val="22"/>
                <w:szCs w:val="22"/>
              </w:rPr>
            </w:pPr>
          </w:p>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both"/>
              <w:rPr>
                <w:rFonts w:ascii="Garamond" w:hAnsi="Garamond"/>
                <w:sz w:val="22"/>
                <w:szCs w:val="22"/>
              </w:rPr>
            </w:pPr>
          </w:p>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tak – 2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Współpraca pomp z system do kontrolowanej podaży insuliny.</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trike/>
                <w:sz w:val="22"/>
                <w:szCs w:val="22"/>
              </w:rPr>
            </w:pPr>
          </w:p>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both"/>
              <w:rPr>
                <w:rFonts w:ascii="Garamond" w:hAnsi="Garamond"/>
                <w:sz w:val="22"/>
                <w:szCs w:val="22"/>
              </w:rPr>
            </w:pPr>
          </w:p>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tak – 2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Programowanie parametrów infuzji w min. 3 jednostkach  w odniesieniu do czasu - wymienić</w:t>
            </w:r>
          </w:p>
          <w:p w:rsidR="00191483" w:rsidRPr="00487EB6" w:rsidRDefault="00191483" w:rsidP="000D5ED2">
            <w:pPr>
              <w:snapToGrid w:val="0"/>
              <w:spacing w:line="288" w:lineRule="auto"/>
              <w:rPr>
                <w:rFonts w:ascii="Garamond" w:hAnsi="Garamond"/>
                <w:sz w:val="22"/>
                <w:szCs w:val="22"/>
              </w:rPr>
            </w:pPr>
          </w:p>
          <w:p w:rsidR="00191483" w:rsidRPr="00487EB6" w:rsidRDefault="00191483" w:rsidP="000D5ED2">
            <w:pPr>
              <w:snapToGrid w:val="0"/>
              <w:spacing w:line="288" w:lineRule="auto"/>
              <w:rPr>
                <w:rFonts w:ascii="Garamond" w:hAnsi="Garamond"/>
                <w:sz w:val="22"/>
                <w:szCs w:val="22"/>
              </w:rPr>
            </w:pPr>
          </w:p>
          <w:p w:rsidR="00191483" w:rsidRPr="00487EB6" w:rsidRDefault="00191483" w:rsidP="000D5ED2">
            <w:pPr>
              <w:snapToGrid w:val="0"/>
              <w:spacing w:line="288" w:lineRule="auto"/>
              <w:rPr>
                <w:rFonts w:ascii="Garamond" w:hAnsi="Garamond"/>
                <w:strike/>
                <w:sz w:val="22"/>
                <w:szCs w:val="22"/>
              </w:rPr>
            </w:pPr>
          </w:p>
          <w:p w:rsidR="00191483" w:rsidRPr="00487EB6" w:rsidRDefault="00191483"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Pompa skalibrowana do pracy ze strzykawkami o objętości min. 5, 10, 20 i 50/60 ml różnych typów oraz różnych producentów </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Prędkość infuzji programowana – min. 999 [ml/h]</w:t>
            </w:r>
          </w:p>
          <w:p w:rsidR="00191483" w:rsidRPr="00487EB6" w:rsidRDefault="00191483" w:rsidP="000D5ED2">
            <w:pPr>
              <w:snapToGrid w:val="0"/>
              <w:spacing w:line="288" w:lineRule="auto"/>
              <w:rPr>
                <w:rFonts w:ascii="Garamond" w:hAnsi="Garamond"/>
                <w:sz w:val="22"/>
                <w:szCs w:val="22"/>
              </w:rPr>
            </w:pPr>
          </w:p>
          <w:p w:rsidR="00191483" w:rsidRPr="00487EB6" w:rsidRDefault="00191483" w:rsidP="000D5ED2">
            <w:pPr>
              <w:snapToGrid w:val="0"/>
              <w:spacing w:line="288" w:lineRule="auto"/>
              <w:rPr>
                <w:rFonts w:ascii="Garamond" w:hAnsi="Garamond"/>
                <w:sz w:val="22"/>
                <w:szCs w:val="22"/>
              </w:rPr>
            </w:pPr>
          </w:p>
          <w:p w:rsidR="00191483" w:rsidRPr="00487EB6" w:rsidRDefault="00191483"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Zmiana szybkości infuzji bez konieczności przerywania wlewu</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Możliwość utworzenia biblioteki leków używanych w </w:t>
            </w:r>
            <w:proofErr w:type="spellStart"/>
            <w:r w:rsidRPr="00487EB6">
              <w:rPr>
                <w:rFonts w:ascii="Garamond" w:hAnsi="Garamond"/>
                <w:sz w:val="22"/>
                <w:szCs w:val="22"/>
              </w:rPr>
              <w:t>infuzjoterapii</w:t>
            </w:r>
            <w:proofErr w:type="spellEnd"/>
            <w:r w:rsidRPr="00487EB6">
              <w:rPr>
                <w:rFonts w:ascii="Garamond" w:hAnsi="Garamond"/>
                <w:sz w:val="22"/>
                <w:szCs w:val="22"/>
              </w:rPr>
              <w:t xml:space="preserve"> na min. 100 leków wraz z protokołami infuzji (domyślne przepływy, dawki, prędkości bolusa, stężenia itp.), możliwość wyświetlania nazwy leku i/lub wybranych parametrów infuzji.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 500 leków – 0,5 pkt.</w:t>
            </w:r>
          </w:p>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 2000 leków – 1,5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Podział biblioteki na osobne grupy dedykowane poszczególnym oddziałom szpitalnym, do min. 20 oddziałów. Wybór oddziału dostępny w pompie.</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Podział biblioteki dedykowanej oddziałom na min. 13 kategorii lekowych.</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Tak – 1 pkt.</w:t>
            </w:r>
          </w:p>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Możliwość zasilania minimum 2 pomp wspólnym przewodem (bez stosowania stacji dokującej)</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Ciągły pomiar ciśnienia w linii - okluzji i rozłączenia linii bez konieczności stosowania specjalnych drenów</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Prezentacja ciągłego pomiaru ciśnienia w linii w formie graficznej</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Ustawianie poziomu ciśnienia okluzji – min. 8 poziomów</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Funkcja programowania objętości do podania (VTBD) w zakresie min. 0,1- 999 ml</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trike/>
                <w:sz w:val="22"/>
                <w:szCs w:val="22"/>
              </w:rPr>
            </w:pPr>
          </w:p>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both"/>
              <w:rPr>
                <w:rFonts w:ascii="Garamond" w:hAnsi="Garamond"/>
                <w:sz w:val="22"/>
                <w:szCs w:val="22"/>
              </w:rPr>
            </w:pPr>
          </w:p>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tak – 1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Funkcja programowania czasu infuzji </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trike/>
                <w:sz w:val="22"/>
                <w:szCs w:val="22"/>
              </w:rPr>
            </w:pPr>
          </w:p>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uppressAutoHyphens w:val="0"/>
              <w:autoSpaceDE w:val="0"/>
              <w:autoSpaceDN w:val="0"/>
              <w:adjustRightIn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both"/>
              <w:rPr>
                <w:rFonts w:ascii="Garamond" w:hAnsi="Garamond"/>
                <w:sz w:val="22"/>
                <w:szCs w:val="22"/>
              </w:rPr>
            </w:pPr>
          </w:p>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tak – 1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Bolus podawany na żądanie bez konieczności wstrzymywania trwającej infuzji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Minimum dwa rodzaje bolusa:</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ręczny</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programowany – ustawienie objętości do podania lub objętości do podania i czasu</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Funkcja bolusa tzw. </w:t>
            </w:r>
            <w:proofErr w:type="spellStart"/>
            <w:r w:rsidRPr="00487EB6">
              <w:rPr>
                <w:rFonts w:ascii="Garamond" w:hAnsi="Garamond"/>
                <w:sz w:val="22"/>
                <w:szCs w:val="22"/>
              </w:rPr>
              <w:t>Emergency</w:t>
            </w:r>
            <w:proofErr w:type="spellEnd"/>
            <w:r w:rsidRPr="00487EB6">
              <w:rPr>
                <w:rFonts w:ascii="Garamond" w:hAnsi="Garamond"/>
                <w:sz w:val="22"/>
                <w:szCs w:val="22"/>
              </w:rPr>
              <w:t xml:space="preserve"> – manualne przesunięcie tłoka strzykawki z funkcją zliczania podanej objętości i prezentacją wartości na wyświetlaczu urządzenia lub dedykowany przycisk na klawiaturze pompy</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lang w:val="en-US"/>
              </w:rPr>
            </w:pPr>
            <w:proofErr w:type="spellStart"/>
            <w:r w:rsidRPr="00487EB6">
              <w:rPr>
                <w:rFonts w:ascii="Garamond" w:hAnsi="Garamond"/>
                <w:sz w:val="22"/>
                <w:szCs w:val="22"/>
                <w:lang w:val="en-US"/>
              </w:rPr>
              <w:t>Funkcja</w:t>
            </w:r>
            <w:proofErr w:type="spellEnd"/>
            <w:r w:rsidRPr="00487EB6">
              <w:rPr>
                <w:rFonts w:ascii="Garamond" w:hAnsi="Garamond"/>
                <w:sz w:val="22"/>
                <w:szCs w:val="22"/>
                <w:lang w:val="en-US"/>
              </w:rPr>
              <w:t xml:space="preserve"> KVO (Keep Vein Open)</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Tryb infuzji umożliwiający zdefiniowanie serii przedziałów (min. 6) o określonych parametrach (prędkość, czas , objętość) dla każdego cyklu. </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Pompa przeprowadza po kolei terapię właściwą dla każdego z zaprogramowanych przedziałów.</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trike/>
                <w:sz w:val="22"/>
                <w:szCs w:val="22"/>
              </w:rPr>
            </w:pPr>
          </w:p>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uppressAutoHyphens w:val="0"/>
              <w:autoSpaceDE w:val="0"/>
              <w:autoSpaceDN w:val="0"/>
              <w:adjustRightIn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both"/>
              <w:rPr>
                <w:rFonts w:ascii="Garamond" w:hAnsi="Garamond"/>
                <w:sz w:val="22"/>
                <w:szCs w:val="22"/>
              </w:rPr>
            </w:pPr>
          </w:p>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tak – 1 pkt.,</w:t>
            </w:r>
          </w:p>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Tryb infuzji „wzrost i spadek” (ang. Ramp and Taper) służący do przeprowadzenia infuzji przy stopniowym wzroście i spadku prędkości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trike/>
                <w:sz w:val="22"/>
                <w:szCs w:val="22"/>
              </w:rPr>
            </w:pPr>
          </w:p>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both"/>
              <w:rPr>
                <w:rFonts w:ascii="Garamond" w:hAnsi="Garamond"/>
                <w:sz w:val="22"/>
                <w:szCs w:val="22"/>
              </w:rPr>
            </w:pPr>
          </w:p>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tak – 1 pkt., 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Transmisja danych z pompy, możliwość połączenia w sieć z komputerem centralnym samodzielnie lub przez stację dokującą</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Komunikacja pomp umieszczonych w stacji dokującej z komputerem poprzez Ethernet - złącze RJ45. </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Opcjonalna możliwość bezprzewodowej komunikacji pomp poza stacją dokującą z komputerem.</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Tak – 0,5 pkt.</w:t>
            </w:r>
          </w:p>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Rejestr na min. 1500 zdarzeń zapisywany w czasie rzeczywistym</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xml:space="preserve">TAK, </w:t>
            </w:r>
            <w:proofErr w:type="spellStart"/>
            <w:r w:rsidRPr="00487EB6">
              <w:rPr>
                <w:rFonts w:ascii="Garamond" w:hAnsi="Garamond"/>
                <w:sz w:val="22"/>
                <w:szCs w:val="22"/>
              </w:rPr>
              <w:t>podac</w:t>
            </w:r>
            <w:proofErr w:type="spellEnd"/>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Akustyczno-optyczny system alarmów i ostrzeżeń</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Alarm pustej strzykawki lub pompa która w </w:t>
            </w:r>
            <w:r w:rsidRPr="00487EB6">
              <w:rPr>
                <w:rFonts w:ascii="Garamond" w:hAnsi="Garamond"/>
                <w:sz w:val="22"/>
                <w:szCs w:val="22"/>
              </w:rPr>
              <w:lastRenderedPageBreak/>
              <w:t>sytuacji kiedy opróżnia się strzykawka i następuje koniec infuzji emituje dwustopniowy, wizualno-dźwiękowy alarm wysokiego priorytetu-alarm końca infuzji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Alarm przypominający –zatrzymana infuzja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Alarm okluzji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Alarm rozładowanego akumulatora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Alarm wstępny zbliżającego się rozładowania akumulatora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Alarm wstępny przed opróżnieniem strzykawki.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Alarm wstępny przed końcem infuzji.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Alarm otwartego uchwytu komory strzykawki</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Możliwość prowadzenia znieczulenia zewnątrzoponowego</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Tak – 2 pkt.</w:t>
            </w:r>
          </w:p>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W każdej pompie tryb TCI  </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Programowanie stężenia w osoczu oraz miejscu działania</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Protokół podawania </w:t>
            </w:r>
            <w:proofErr w:type="spellStart"/>
            <w:r w:rsidRPr="00487EB6">
              <w:rPr>
                <w:rFonts w:ascii="Garamond" w:hAnsi="Garamond"/>
                <w:sz w:val="22"/>
                <w:szCs w:val="22"/>
              </w:rPr>
              <w:t>Propofolu</w:t>
            </w:r>
            <w:proofErr w:type="spellEnd"/>
            <w:r w:rsidRPr="00487EB6">
              <w:rPr>
                <w:rFonts w:ascii="Garamond" w:hAnsi="Garamond"/>
                <w:sz w:val="22"/>
                <w:szCs w:val="22"/>
              </w:rPr>
              <w:t>,</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model farmakokinetyczny </w:t>
            </w:r>
            <w:proofErr w:type="spellStart"/>
            <w:r w:rsidRPr="00487EB6">
              <w:rPr>
                <w:rFonts w:ascii="Garamond" w:hAnsi="Garamond"/>
                <w:sz w:val="22"/>
                <w:szCs w:val="22"/>
              </w:rPr>
              <w:t>Marsch</w:t>
            </w:r>
            <w:proofErr w:type="spellEnd"/>
            <w:r w:rsidRPr="00487EB6">
              <w:rPr>
                <w:rFonts w:ascii="Garamond" w:hAnsi="Garamond"/>
                <w:sz w:val="22"/>
                <w:szCs w:val="22"/>
              </w:rPr>
              <w:t xml:space="preserve"> oraz </w:t>
            </w:r>
            <w:proofErr w:type="spellStart"/>
            <w:r w:rsidRPr="00487EB6">
              <w:rPr>
                <w:rFonts w:ascii="Garamond" w:hAnsi="Garamond"/>
                <w:sz w:val="22"/>
                <w:szCs w:val="22"/>
              </w:rPr>
              <w:t>Schnider</w:t>
            </w:r>
            <w:proofErr w:type="spellEnd"/>
            <w:r w:rsidRPr="00487EB6">
              <w:rPr>
                <w:rFonts w:ascii="Garamond" w:hAnsi="Garamond"/>
                <w:sz w:val="22"/>
                <w:szCs w:val="22"/>
              </w:rPr>
              <w:t xml:space="preserve"> (do wyboru)</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Protokół podawania </w:t>
            </w:r>
            <w:proofErr w:type="spellStart"/>
            <w:r w:rsidRPr="00487EB6">
              <w:rPr>
                <w:rFonts w:ascii="Garamond" w:hAnsi="Garamond"/>
                <w:sz w:val="22"/>
                <w:szCs w:val="22"/>
              </w:rPr>
              <w:t>Remifentanylu</w:t>
            </w:r>
            <w:proofErr w:type="spellEnd"/>
            <w:r w:rsidRPr="00487EB6">
              <w:rPr>
                <w:rFonts w:ascii="Garamond" w:hAnsi="Garamond"/>
                <w:sz w:val="22"/>
                <w:szCs w:val="22"/>
              </w:rPr>
              <w:t>,</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model farmakokinetyczny Minto</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Protokół podawania </w:t>
            </w:r>
            <w:proofErr w:type="spellStart"/>
            <w:r w:rsidRPr="00487EB6">
              <w:rPr>
                <w:rFonts w:ascii="Garamond" w:hAnsi="Garamond"/>
                <w:sz w:val="22"/>
                <w:szCs w:val="22"/>
              </w:rPr>
              <w:t>Sufentanylu</w:t>
            </w:r>
            <w:proofErr w:type="spellEnd"/>
            <w:r w:rsidRPr="00487EB6">
              <w:rPr>
                <w:rFonts w:ascii="Garamond" w:hAnsi="Garamond"/>
                <w:sz w:val="22"/>
                <w:szCs w:val="22"/>
              </w:rPr>
              <w:t>,</w:t>
            </w:r>
          </w:p>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model farmakokinetyczny </w:t>
            </w:r>
            <w:proofErr w:type="spellStart"/>
            <w:r w:rsidRPr="00487EB6">
              <w:rPr>
                <w:rFonts w:ascii="Garamond" w:hAnsi="Garamond"/>
                <w:sz w:val="22"/>
                <w:szCs w:val="22"/>
              </w:rPr>
              <w:t>Gepts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Tak – 0,5  pkt.</w:t>
            </w:r>
          </w:p>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Protokół podawania </w:t>
            </w:r>
            <w:proofErr w:type="spellStart"/>
            <w:r w:rsidRPr="00487EB6">
              <w:rPr>
                <w:rFonts w:ascii="Garamond" w:hAnsi="Garamond"/>
                <w:sz w:val="22"/>
                <w:szCs w:val="22"/>
              </w:rPr>
              <w:t>Alfentanylu</w:t>
            </w:r>
            <w:proofErr w:type="spellEnd"/>
            <w:r w:rsidRPr="00487EB6">
              <w:rPr>
                <w:rFonts w:ascii="Garamond" w:hAnsi="Garamond"/>
                <w:sz w:val="22"/>
                <w:szCs w:val="22"/>
              </w:rPr>
              <w:t xml:space="preserve">, model farmakokinetyczny </w:t>
            </w:r>
            <w:proofErr w:type="spellStart"/>
            <w:r w:rsidRPr="00487EB6">
              <w:rPr>
                <w:rFonts w:ascii="Garamond" w:hAnsi="Garamond"/>
                <w:sz w:val="22"/>
                <w:szCs w:val="22"/>
              </w:rPr>
              <w:t>Maitre</w:t>
            </w:r>
            <w:proofErr w:type="spellEnd"/>
            <w:r w:rsidRPr="00487EB6">
              <w:rPr>
                <w:rFonts w:ascii="Garamond" w:hAnsi="Garamond"/>
                <w:sz w:val="22"/>
                <w:szCs w:val="22"/>
              </w:rPr>
              <w:t xml:space="preserve"> lub protokół podawania </w:t>
            </w:r>
            <w:proofErr w:type="spellStart"/>
            <w:r w:rsidRPr="00487EB6">
              <w:rPr>
                <w:rFonts w:ascii="Garamond" w:hAnsi="Garamond"/>
                <w:sz w:val="22"/>
                <w:szCs w:val="22"/>
              </w:rPr>
              <w:t>Alfentanylu</w:t>
            </w:r>
            <w:proofErr w:type="spellEnd"/>
            <w:r w:rsidRPr="00487EB6">
              <w:rPr>
                <w:rFonts w:ascii="Garamond" w:hAnsi="Garamond"/>
                <w:sz w:val="22"/>
                <w:szCs w:val="22"/>
              </w:rPr>
              <w:t xml:space="preserve">, model farmakokinetyczny Minto, </w:t>
            </w:r>
            <w:proofErr w:type="spellStart"/>
            <w:r w:rsidRPr="00487EB6">
              <w:rPr>
                <w:rFonts w:ascii="Garamond" w:hAnsi="Garamond"/>
                <w:sz w:val="22"/>
                <w:szCs w:val="22"/>
              </w:rPr>
              <w:t>Gepts</w:t>
            </w:r>
            <w:proofErr w:type="spellEnd"/>
            <w:r w:rsidRPr="00487EB6">
              <w:rPr>
                <w:rFonts w:ascii="Garamond" w:hAnsi="Garamond"/>
                <w:sz w:val="22"/>
                <w:szCs w:val="22"/>
              </w:rPr>
              <w:t xml:space="preserve"> i Scott</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Tak – 0,5  pkt.</w:t>
            </w:r>
          </w:p>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Nie – 0 pkt.</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Podgląd trybu TCI graficzny oraz cyfrowy</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 - -</w:t>
            </w:r>
          </w:p>
        </w:tc>
      </w:tr>
      <w:tr w:rsidR="000D5ED2"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Praca w trybie TCI dla dzieci od 5 kg</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Tak – 0,5  pkt.</w:t>
            </w:r>
          </w:p>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Nie – 0 pkt.</w:t>
            </w:r>
          </w:p>
        </w:tc>
      </w:tr>
      <w:tr w:rsidR="00191483" w:rsidRPr="00487EB6" w:rsidTr="000463EA">
        <w:tc>
          <w:tcPr>
            <w:tcW w:w="67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Protokół podawania </w:t>
            </w:r>
            <w:proofErr w:type="spellStart"/>
            <w:r w:rsidRPr="00487EB6">
              <w:rPr>
                <w:rFonts w:ascii="Garamond" w:hAnsi="Garamond"/>
                <w:sz w:val="22"/>
                <w:szCs w:val="22"/>
              </w:rPr>
              <w:t>Propofolu</w:t>
            </w:r>
            <w:proofErr w:type="spellEnd"/>
            <w:r w:rsidRPr="00487EB6">
              <w:rPr>
                <w:rFonts w:ascii="Garamond" w:hAnsi="Garamond"/>
                <w:sz w:val="22"/>
                <w:szCs w:val="22"/>
              </w:rPr>
              <w:t xml:space="preserve"> dla dzieci - model farmakokinetyczny </w:t>
            </w:r>
            <w:proofErr w:type="spellStart"/>
            <w:r w:rsidRPr="00487EB6">
              <w:rPr>
                <w:rFonts w:ascii="Garamond" w:hAnsi="Garamond"/>
                <w:sz w:val="22"/>
                <w:szCs w:val="22"/>
              </w:rPr>
              <w:t>Kataria</w:t>
            </w:r>
            <w:proofErr w:type="spellEnd"/>
            <w:r w:rsidRPr="00487EB6">
              <w:rPr>
                <w:rFonts w:ascii="Garamond" w:hAnsi="Garamond"/>
                <w:sz w:val="22"/>
                <w:szCs w:val="22"/>
              </w:rPr>
              <w:t xml:space="preserve"> i </w:t>
            </w:r>
            <w:proofErr w:type="spellStart"/>
            <w:r w:rsidRPr="00487EB6">
              <w:rPr>
                <w:rFonts w:ascii="Garamond" w:hAnsi="Garamond"/>
                <w:sz w:val="22"/>
                <w:szCs w:val="22"/>
              </w:rPr>
              <w:t>Paedfusor</w:t>
            </w:r>
            <w:proofErr w:type="spellEnd"/>
            <w:r w:rsidRPr="00487EB6">
              <w:rPr>
                <w:rFonts w:ascii="Garamond" w:hAnsi="Garamond"/>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rsidR="00191483" w:rsidRPr="00487EB6" w:rsidRDefault="00191483" w:rsidP="000D5ED2">
            <w:pPr>
              <w:snapToGrid w:val="0"/>
              <w:spacing w:line="288" w:lineRule="auto"/>
              <w:jc w:val="both"/>
              <w:rPr>
                <w:rFonts w:ascii="Garamond" w:hAnsi="Garamond"/>
                <w:sz w:val="22"/>
                <w:szCs w:val="22"/>
              </w:rPr>
            </w:pPr>
            <w:r w:rsidRPr="00487EB6">
              <w:rPr>
                <w:rFonts w:ascii="Garamond" w:hAnsi="Garamond"/>
                <w:sz w:val="22"/>
                <w:szCs w:val="22"/>
              </w:rPr>
              <w:t>Tak – 0,5 pkt.</w:t>
            </w:r>
          </w:p>
          <w:p w:rsidR="00191483" w:rsidRPr="00487EB6" w:rsidRDefault="00191483" w:rsidP="000D5ED2">
            <w:pPr>
              <w:spacing w:line="288" w:lineRule="auto"/>
              <w:jc w:val="both"/>
              <w:rPr>
                <w:rFonts w:ascii="Garamond" w:hAnsi="Garamond"/>
                <w:sz w:val="22"/>
                <w:szCs w:val="22"/>
              </w:rPr>
            </w:pPr>
            <w:r w:rsidRPr="00487EB6">
              <w:rPr>
                <w:rFonts w:ascii="Garamond" w:hAnsi="Garamond"/>
                <w:sz w:val="22"/>
                <w:szCs w:val="22"/>
              </w:rPr>
              <w:t>Nie – 0 pkt.</w:t>
            </w:r>
          </w:p>
        </w:tc>
      </w:tr>
    </w:tbl>
    <w:p w:rsidR="00812247" w:rsidRPr="00487EB6" w:rsidRDefault="00812247" w:rsidP="000D5ED2">
      <w:pPr>
        <w:tabs>
          <w:tab w:val="left" w:pos="2116"/>
        </w:tabs>
        <w:spacing w:line="288" w:lineRule="auto"/>
        <w:rPr>
          <w:rFonts w:ascii="Garamond" w:hAnsi="Garamond"/>
          <w:sz w:val="22"/>
          <w:szCs w:val="22"/>
        </w:rPr>
      </w:pPr>
    </w:p>
    <w:p w:rsidR="00E33A70" w:rsidRPr="00487EB6" w:rsidRDefault="00E33A70" w:rsidP="000D5ED2">
      <w:pPr>
        <w:tabs>
          <w:tab w:val="left" w:pos="2116"/>
        </w:tabs>
        <w:spacing w:line="288" w:lineRule="auto"/>
        <w:rPr>
          <w:rFonts w:ascii="Garamond" w:hAnsi="Garamond"/>
          <w:sz w:val="22"/>
          <w:szCs w:val="22"/>
        </w:rPr>
      </w:pPr>
    </w:p>
    <w:p w:rsidR="00A545D4" w:rsidRPr="00487EB6" w:rsidRDefault="00A545D4" w:rsidP="000D5ED2">
      <w:pPr>
        <w:spacing w:line="288" w:lineRule="auto"/>
        <w:jc w:val="both"/>
        <w:rPr>
          <w:rFonts w:ascii="Garamond" w:hAnsi="Garamond"/>
          <w:b/>
          <w:sz w:val="22"/>
          <w:szCs w:val="22"/>
        </w:rPr>
      </w:pPr>
      <w:r w:rsidRPr="00487EB6">
        <w:rPr>
          <w:rFonts w:ascii="Garamond" w:hAnsi="Garamond"/>
          <w:b/>
          <w:sz w:val="22"/>
          <w:szCs w:val="22"/>
        </w:rPr>
        <w:t>WARUNKI GWARANCJI, SERWISU I SZKOLENIA</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985"/>
        <w:gridCol w:w="4536"/>
        <w:gridCol w:w="2693"/>
      </w:tblGrid>
      <w:tr w:rsidR="000D5ED2" w:rsidRPr="00487EB6" w:rsidTr="00E33A70">
        <w:tc>
          <w:tcPr>
            <w:tcW w:w="709"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b/>
                <w:bCs/>
                <w:sz w:val="22"/>
                <w:szCs w:val="22"/>
              </w:rPr>
            </w:pPr>
            <w:r w:rsidRPr="00487EB6">
              <w:rPr>
                <w:rFonts w:ascii="Garamond" w:hAnsi="Garamond"/>
                <w:b/>
                <w:bCs/>
                <w:sz w:val="22"/>
                <w:szCs w:val="22"/>
              </w:rPr>
              <w:t>LP</w:t>
            </w: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pStyle w:val="Nagwek3"/>
              <w:snapToGrid w:val="0"/>
              <w:spacing w:line="288" w:lineRule="auto"/>
              <w:ind w:left="0" w:firstLine="0"/>
              <w:jc w:val="center"/>
              <w:rPr>
                <w:rFonts w:ascii="Garamond" w:hAnsi="Garamond"/>
                <w:sz w:val="22"/>
                <w:lang w:eastAsia="en-US"/>
              </w:rPr>
            </w:pPr>
            <w:r w:rsidRPr="00487EB6">
              <w:rPr>
                <w:rFonts w:ascii="Garamond" w:hAnsi="Garamond"/>
                <w:sz w:val="22"/>
                <w:lang w:eastAsia="en-US"/>
              </w:rPr>
              <w:t>PARAMETR</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b/>
                <w:bCs/>
                <w:sz w:val="22"/>
                <w:szCs w:val="22"/>
              </w:rPr>
            </w:pPr>
            <w:r w:rsidRPr="00487EB6">
              <w:rPr>
                <w:rFonts w:ascii="Garamond" w:hAnsi="Garamond"/>
                <w:b/>
                <w:bCs/>
                <w:sz w:val="22"/>
                <w:szCs w:val="22"/>
              </w:rPr>
              <w:t>PARAMETR WYMAGANY</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line="288" w:lineRule="auto"/>
              <w:jc w:val="center"/>
              <w:rPr>
                <w:rFonts w:ascii="Garamond" w:hAnsi="Garamond" w:cs="Arial"/>
                <w:b/>
                <w:sz w:val="22"/>
                <w:szCs w:val="22"/>
              </w:rPr>
            </w:pPr>
            <w:r w:rsidRPr="00487EB6">
              <w:rPr>
                <w:rFonts w:ascii="Garamond" w:hAnsi="Garamond" w:cs="Arial"/>
                <w:b/>
                <w:sz w:val="22"/>
                <w:szCs w:val="22"/>
              </w:rPr>
              <w:t>Parametr oferowany</w:t>
            </w: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b/>
                <w:bCs/>
                <w:sz w:val="22"/>
                <w:szCs w:val="22"/>
              </w:rPr>
            </w:pPr>
            <w:r w:rsidRPr="00487EB6">
              <w:rPr>
                <w:rFonts w:ascii="Garamond" w:hAnsi="Garamond"/>
                <w:b/>
                <w:bCs/>
                <w:sz w:val="22"/>
                <w:szCs w:val="22"/>
              </w:rPr>
              <w:t>SPOSÓB OCENY</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tabs>
                <w:tab w:val="left" w:pos="0"/>
              </w:tabs>
              <w:snapToGrid w:val="0"/>
              <w:spacing w:line="288" w:lineRule="auto"/>
              <w:rPr>
                <w:rFonts w:ascii="Garamond" w:eastAsia="Calibri" w:hAnsi="Garamond" w:cs="Calibri"/>
                <w:b/>
                <w:bCs/>
                <w:sz w:val="22"/>
                <w:szCs w:val="22"/>
              </w:rPr>
            </w:pPr>
            <w:r w:rsidRPr="00487EB6">
              <w:rPr>
                <w:rFonts w:ascii="Garamond" w:hAnsi="Garamond"/>
                <w:b/>
                <w:bCs/>
                <w:sz w:val="22"/>
                <w:szCs w:val="22"/>
              </w:rPr>
              <w:t>GWARANCJE</w:t>
            </w:r>
          </w:p>
        </w:tc>
        <w:tc>
          <w:tcPr>
            <w:tcW w:w="198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AbsatzTableFormat"/>
              <w:snapToGrid w:val="0"/>
              <w:spacing w:before="100" w:beforeAutospacing="1" w:after="100" w:afterAutospacing="1" w:line="288" w:lineRule="auto"/>
              <w:jc w:val="center"/>
              <w:rPr>
                <w:rFonts w:ascii="Garamond" w:hAnsi="Garamond"/>
                <w:sz w:val="22"/>
                <w:szCs w:val="22"/>
                <w:lang w:eastAsia="en-US"/>
              </w:rPr>
            </w:pP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 xml:space="preserve">Okres pełnej, bez </w:t>
            </w:r>
            <w:proofErr w:type="spellStart"/>
            <w:r w:rsidRPr="00487EB6">
              <w:rPr>
                <w:rFonts w:ascii="Garamond" w:hAnsi="Garamond"/>
                <w:sz w:val="22"/>
                <w:szCs w:val="22"/>
              </w:rPr>
              <w:t>wyłączeń</w:t>
            </w:r>
            <w:proofErr w:type="spellEnd"/>
            <w:r w:rsidRPr="00487EB6">
              <w:rPr>
                <w:rFonts w:ascii="Garamond" w:hAnsi="Garamond"/>
                <w:sz w:val="22"/>
                <w:szCs w:val="22"/>
              </w:rPr>
              <w:t xml:space="preserve"> gwarancji dla wszystkich zaoferowanych elementów wraz z urządzeniami peryferyjnymi (jeśli dotyczy)[liczba lat]</w:t>
            </w:r>
          </w:p>
          <w:p w:rsidR="00E33A70" w:rsidRPr="00487EB6" w:rsidRDefault="00E33A70" w:rsidP="000D5ED2">
            <w:pPr>
              <w:spacing w:line="288" w:lineRule="auto"/>
              <w:rPr>
                <w:rFonts w:ascii="Garamond" w:hAnsi="Garamond"/>
                <w:i/>
                <w:iCs/>
                <w:sz w:val="22"/>
                <w:szCs w:val="22"/>
              </w:rPr>
            </w:pPr>
          </w:p>
          <w:p w:rsidR="00E33A70" w:rsidRPr="00487EB6" w:rsidRDefault="00E33A70" w:rsidP="000D5ED2">
            <w:pPr>
              <w:spacing w:line="288" w:lineRule="auto"/>
              <w:rPr>
                <w:rFonts w:ascii="Garamond" w:eastAsia="Calibri" w:hAnsi="Garamond" w:cs="Calibri"/>
                <w:i/>
                <w:iCs/>
                <w:sz w:val="22"/>
                <w:szCs w:val="22"/>
              </w:rPr>
            </w:pPr>
            <w:r w:rsidRPr="00487EB6">
              <w:rPr>
                <w:rFonts w:ascii="Garamond" w:hAnsi="Garamond"/>
                <w:i/>
                <w:iCs/>
                <w:sz w:val="22"/>
                <w:szCs w:val="22"/>
              </w:rPr>
              <w:t xml:space="preserve">UWAGA – należy podać pełną liczbę miesięcy. Wartości ułamkowe będą przy ocenie zaokrąglane w dół – do pełnych miesięcy. Zamawiający zastrzega, że okres rękojmi musi być równy okresowi gwarancji. </w:t>
            </w:r>
            <w:r w:rsidRPr="00487EB6">
              <w:rPr>
                <w:rFonts w:ascii="Garamond" w:hAnsi="Garamond"/>
                <w:i/>
                <w:sz w:val="22"/>
                <w:szCs w:val="22"/>
              </w:rPr>
              <w:t>Zamawiający zastrzega, że górną granicą punktacji gwarancji będzie 10 lat.</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lastRenderedPageBreak/>
              <w:t>&gt;= 10</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eastAsia="Calibri" w:hAnsi="Garamond" w:cs="Calibri"/>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6C2E67" w:rsidRDefault="006C2E67" w:rsidP="000D5ED2">
            <w:pPr>
              <w:snapToGrid w:val="0"/>
              <w:spacing w:line="288" w:lineRule="auto"/>
              <w:rPr>
                <w:rFonts w:ascii="Garamond" w:eastAsia="Calibri" w:hAnsi="Garamond" w:cs="Calibri"/>
                <w:sz w:val="22"/>
                <w:szCs w:val="22"/>
              </w:rPr>
            </w:pPr>
            <w:r w:rsidRPr="006C2E67">
              <w:rPr>
                <w:rFonts w:ascii="Garamond" w:hAnsi="Garamond"/>
                <w:sz w:val="22"/>
                <w:szCs w:val="22"/>
              </w:rPr>
              <w:t xml:space="preserve">Termin dostawy (dotyczy wszystkich elementów ujętych w </w:t>
            </w:r>
            <w:proofErr w:type="spellStart"/>
            <w:r w:rsidRPr="006C2E67">
              <w:rPr>
                <w:rFonts w:ascii="Garamond" w:hAnsi="Garamond"/>
                <w:sz w:val="22"/>
                <w:szCs w:val="22"/>
              </w:rPr>
              <w:t>opz</w:t>
            </w:r>
            <w:proofErr w:type="spellEnd"/>
            <w:r w:rsidRPr="006C2E67">
              <w:rPr>
                <w:rFonts w:ascii="Garamond" w:hAnsi="Garamond"/>
                <w:sz w:val="22"/>
                <w:szCs w:val="22"/>
              </w:rPr>
              <w:t xml:space="preserve"> do obiektu NSSU)  – liczony od daty podpisania umowy</w:t>
            </w:r>
          </w:p>
        </w:tc>
        <w:tc>
          <w:tcPr>
            <w:tcW w:w="198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eastAsia="Calibri" w:hAnsi="Garamond" w:cs="Calibri"/>
                <w:sz w:val="22"/>
                <w:szCs w:val="22"/>
              </w:rPr>
              <w:t>podać</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before="100" w:beforeAutospacing="1" w:after="100" w:afterAutospacing="1"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E33A70" w:rsidRPr="00487EB6" w:rsidRDefault="006C2E67" w:rsidP="000D5ED2">
            <w:pPr>
              <w:snapToGrid w:val="0"/>
              <w:spacing w:before="100" w:beforeAutospacing="1" w:after="100" w:afterAutospacing="1" w:line="288" w:lineRule="auto"/>
              <w:jc w:val="center"/>
              <w:rPr>
                <w:rFonts w:ascii="Garamond" w:eastAsia="Calibri" w:hAnsi="Garamond" w:cs="Calibri"/>
                <w:sz w:val="22"/>
                <w:szCs w:val="22"/>
              </w:rPr>
            </w:pPr>
            <w:r>
              <w:rPr>
                <w:rFonts w:ascii="Garamond" w:eastAsia="Calibri" w:hAnsi="Garamond" w:cs="Calibri"/>
                <w:sz w:val="22"/>
                <w:szCs w:val="22"/>
              </w:rPr>
              <w:t>---------</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 xml:space="preserve">Gwarancja dostępności części zamiennych [liczba lat] – min. 8 lat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before="100" w:beforeAutospacing="1" w:after="100" w:afterAutospacing="1"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tabs>
                <w:tab w:val="left" w:pos="0"/>
              </w:tabs>
              <w:snapToGrid w:val="0"/>
              <w:spacing w:line="288" w:lineRule="auto"/>
              <w:rPr>
                <w:rFonts w:ascii="Garamond" w:eastAsia="Calibri" w:hAnsi="Garamond" w:cs="Calibri"/>
                <w:sz w:val="22"/>
                <w:szCs w:val="22"/>
              </w:rPr>
            </w:pPr>
            <w:r w:rsidRPr="00487EB6">
              <w:rPr>
                <w:rFonts w:ascii="Garamond" w:hAnsi="Garamond"/>
                <w:iCs/>
                <w:sz w:val="22"/>
                <w:szCs w:val="22"/>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before="100" w:beforeAutospacing="1" w:after="100" w:afterAutospacing="1" w:line="288" w:lineRule="auto"/>
              <w:jc w:val="center"/>
              <w:rPr>
                <w:rFonts w:ascii="Garamond" w:eastAsia="Calibri" w:hAnsi="Garamond" w:cs="Calibri"/>
                <w:sz w:val="22"/>
                <w:szCs w:val="22"/>
              </w:rPr>
            </w:pPr>
            <w:bookmarkStart w:id="0" w:name="_GoBack"/>
            <w:bookmarkEnd w:id="0"/>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rPr>
          <w:trHeight w:val="446"/>
        </w:trPr>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tabs>
                <w:tab w:val="left" w:pos="0"/>
              </w:tabs>
              <w:snapToGrid w:val="0"/>
              <w:spacing w:line="288" w:lineRule="auto"/>
              <w:rPr>
                <w:rFonts w:ascii="Garamond" w:eastAsia="Calibri" w:hAnsi="Garamond" w:cs="Calibri"/>
                <w:b/>
                <w:bCs/>
                <w:sz w:val="22"/>
                <w:szCs w:val="22"/>
              </w:rPr>
            </w:pPr>
            <w:r w:rsidRPr="00487EB6">
              <w:rPr>
                <w:rFonts w:ascii="Garamond" w:hAnsi="Garamond"/>
                <w:b/>
                <w:bCs/>
                <w:sz w:val="22"/>
                <w:szCs w:val="22"/>
              </w:rPr>
              <w:t>WARUNKI SERWISU</w:t>
            </w:r>
          </w:p>
        </w:tc>
        <w:tc>
          <w:tcPr>
            <w:tcW w:w="198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b/>
                <w:sz w:val="22"/>
                <w:szCs w:val="22"/>
              </w:rPr>
            </w:pP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tabs>
                <w:tab w:val="left" w:pos="0"/>
              </w:tabs>
              <w:snapToGrid w:val="0"/>
              <w:spacing w:line="288" w:lineRule="auto"/>
              <w:rPr>
                <w:rFonts w:ascii="Garamond" w:eastAsia="Calibri" w:hAnsi="Garamond" w:cs="Calibri"/>
                <w:sz w:val="22"/>
                <w:szCs w:val="22"/>
              </w:rPr>
            </w:pPr>
            <w:r w:rsidRPr="00487EB6">
              <w:rPr>
                <w:rFonts w:ascii="Garamond" w:hAnsi="Garamond"/>
                <w:sz w:val="22"/>
                <w:szCs w:val="22"/>
              </w:rPr>
              <w:t xml:space="preserve">Zdalna diagnostyka przez chronione łącze </w:t>
            </w:r>
            <w:r w:rsidRPr="00487EB6">
              <w:rPr>
                <w:rFonts w:ascii="Garamond" w:hAnsi="Garamond" w:cs="Tahoma"/>
                <w:sz w:val="22"/>
                <w:szCs w:val="22"/>
              </w:rPr>
              <w:t>z możliwością rejestracji i odczytu online rejestrów błędów, oraz monitorowaniem systemu</w:t>
            </w:r>
            <w:r w:rsidRPr="00487EB6">
              <w:rPr>
                <w:rFonts w:ascii="Garamond" w:hAnsi="Garamond"/>
                <w:sz w:val="22"/>
                <w:szCs w:val="22"/>
              </w:rPr>
              <w:t>(uwaga – całość ewentualnych prac i wyposażenia sprzętowego, które będzie służyło tej funkcjonalności po stronie wykonawcy) lub diagnozowanie pomp z programu zainstalowanego na centralnym komputerze Szpitala</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Podać</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before="100" w:beforeAutospacing="1" w:after="100" w:afterAutospacing="1"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hAnsi="Garamond"/>
                <w:sz w:val="22"/>
                <w:szCs w:val="22"/>
              </w:rPr>
            </w:pPr>
            <w:r w:rsidRPr="00487EB6">
              <w:rPr>
                <w:rFonts w:ascii="Garamond" w:hAnsi="Garamond"/>
                <w:sz w:val="22"/>
                <w:szCs w:val="22"/>
              </w:rPr>
              <w:t>Tak – 2 pkt.</w:t>
            </w:r>
          </w:p>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xml:space="preserve"> Nie – 0 pkt.</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W cenie oferty -  przeglądy okresowe w okresie gwarancji (w częstotliwości i w zakresie zgodnym z wymogami producenta).</w:t>
            </w:r>
          </w:p>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Obowiązkowy bezpłatny przegląd z końcem biegu gwarancji</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 xml:space="preserve">Wszystkie czynności serwisowe, w tym ponowne podłączenie i uruchomienie sprzętu w miejscu wskazanym przez Zamawiającego oraz  przeglądy konserwacyjne, w okresie gwarancji - w ramach wynagrodzenia umownego.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hAnsi="Garamond"/>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pStyle w:val="Lista-kontynuacja24"/>
              <w:snapToGrid w:val="0"/>
              <w:spacing w:after="0" w:line="288" w:lineRule="auto"/>
              <w:ind w:left="0"/>
              <w:rPr>
                <w:rFonts w:ascii="Garamond" w:hAnsi="Garamond"/>
                <w:sz w:val="22"/>
                <w:szCs w:val="22"/>
              </w:rPr>
            </w:pPr>
            <w:r w:rsidRPr="00487EB6">
              <w:rPr>
                <w:rFonts w:ascii="Garamond" w:hAnsi="Garamond"/>
                <w:sz w:val="22"/>
                <w:szCs w:val="22"/>
              </w:rPr>
              <w:t>Czas reakcji (dotyczy także reakcji zdalnej): „przyjęte zgłoszenie – podjęta naprawa” =&lt; 48 [godz.]</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Lista-kontynuacja24"/>
              <w:snapToGrid w:val="0"/>
              <w:spacing w:after="0" w:line="288" w:lineRule="auto"/>
              <w:ind w:left="0"/>
              <w:jc w:val="center"/>
              <w:rPr>
                <w:rFonts w:ascii="Garamond" w:hAnsi="Garamond"/>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pStyle w:val="Lista-kontynuacja24"/>
              <w:snapToGrid w:val="0"/>
              <w:spacing w:after="0" w:line="288" w:lineRule="auto"/>
              <w:ind w:left="0"/>
              <w:rPr>
                <w:rFonts w:ascii="Garamond" w:hAnsi="Garamond"/>
                <w:sz w:val="22"/>
                <w:szCs w:val="22"/>
              </w:rPr>
            </w:pPr>
            <w:r w:rsidRPr="00487EB6">
              <w:rPr>
                <w:rFonts w:ascii="Garamond" w:hAnsi="Garamond"/>
                <w:sz w:val="22"/>
                <w:szCs w:val="22"/>
              </w:rPr>
              <w:t xml:space="preserve">Możliwość zgłoszeń 24h/dobę, 365 dni/rok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Lista-kontynuacja24"/>
              <w:snapToGrid w:val="0"/>
              <w:spacing w:after="0" w:line="288" w:lineRule="auto"/>
              <w:ind w:left="0"/>
              <w:jc w:val="center"/>
              <w:rPr>
                <w:rFonts w:ascii="Garamond" w:hAnsi="Garamond"/>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pStyle w:val="Lista-kontynuacja24"/>
              <w:snapToGrid w:val="0"/>
              <w:spacing w:after="0" w:line="288" w:lineRule="auto"/>
              <w:ind w:left="0"/>
              <w:rPr>
                <w:rFonts w:ascii="Garamond" w:hAnsi="Garamond"/>
                <w:sz w:val="22"/>
                <w:szCs w:val="22"/>
              </w:rPr>
            </w:pPr>
            <w:r w:rsidRPr="00487EB6">
              <w:rPr>
                <w:rFonts w:ascii="Garamond" w:hAnsi="Garamond"/>
                <w:sz w:val="22"/>
                <w:szCs w:val="22"/>
              </w:rPr>
              <w:t>Wymiana każdego podzespołu na nowy po pierwszej  nieskutecznej próbie jego naprawy</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pStyle w:val="Lista-kontynuacja24"/>
              <w:snapToGrid w:val="0"/>
              <w:spacing w:after="0" w:line="288" w:lineRule="auto"/>
              <w:ind w:left="0"/>
              <w:jc w:val="center"/>
              <w:rPr>
                <w:rFonts w:ascii="Garamond" w:hAnsi="Garamond"/>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eastAsia="Calibri" w:hAnsi="Garamond"/>
                <w:sz w:val="22"/>
                <w:szCs w:val="22"/>
              </w:rPr>
              <w:t>Zakończenie działań serwisowych – do 5 dni roboczych od dnia zgłoszenia awarii, a w przypadku konieczności importu części zamiennych, nie dłuższym niż 10</w:t>
            </w:r>
            <w:r w:rsidRPr="00487EB6">
              <w:rPr>
                <w:rFonts w:ascii="Garamond" w:eastAsia="Calibri" w:hAnsi="Garamond"/>
                <w:b/>
                <w:sz w:val="22"/>
                <w:szCs w:val="22"/>
              </w:rPr>
              <w:t xml:space="preserve"> </w:t>
            </w:r>
            <w:r w:rsidRPr="00487EB6">
              <w:rPr>
                <w:rFonts w:ascii="Garamond" w:eastAsia="Calibri" w:hAnsi="Garamond"/>
                <w:sz w:val="22"/>
                <w:szCs w:val="22"/>
              </w:rPr>
              <w:t>dni roboczych od dnia zgłoszenia awarii.</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tabs>
                <w:tab w:val="left" w:pos="0"/>
              </w:tabs>
              <w:snapToGrid w:val="0"/>
              <w:spacing w:line="288" w:lineRule="auto"/>
              <w:rPr>
                <w:rFonts w:ascii="Garamond" w:eastAsia="Calibri" w:hAnsi="Garamond" w:cs="Calibri"/>
                <w:sz w:val="22"/>
                <w:szCs w:val="22"/>
              </w:rPr>
            </w:pPr>
            <w:r w:rsidRPr="00487EB6">
              <w:rPr>
                <w:rFonts w:ascii="Garamond" w:hAnsi="Garamond"/>
                <w:sz w:val="22"/>
                <w:szCs w:val="22"/>
              </w:rPr>
              <w:t>Struktura serwisowa gwarantująca realizację wymogów stawianych w niniejszej specyfikacji lub udokumentowana/uprawdopodobniona dokumentami możliwość gwarancji realizacji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before="100" w:beforeAutospacing="1" w:after="100" w:afterAutospacing="1" w:line="288" w:lineRule="auto"/>
              <w:jc w:val="center"/>
              <w:rPr>
                <w:rFonts w:ascii="Garamond" w:hAnsi="Garamond"/>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pStyle w:val="Lista-kontynuacja24"/>
              <w:snapToGrid w:val="0"/>
              <w:spacing w:after="0" w:line="288" w:lineRule="auto"/>
              <w:ind w:left="0"/>
              <w:rPr>
                <w:rFonts w:ascii="Garamond" w:hAnsi="Garamond"/>
                <w:sz w:val="22"/>
                <w:szCs w:val="22"/>
              </w:rPr>
            </w:pPr>
            <w:r w:rsidRPr="00487EB6">
              <w:rPr>
                <w:rFonts w:ascii="Garamond" w:hAnsi="Garamond"/>
                <w:sz w:val="22"/>
                <w:szCs w:val="22"/>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before="100" w:beforeAutospacing="1" w:after="100" w:afterAutospacing="1"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eastAsia="Calibri" w:hAnsi="Garamond" w:cs="Calibri"/>
                <w:b/>
                <w:bCs/>
                <w:sz w:val="22"/>
                <w:szCs w:val="22"/>
              </w:rPr>
            </w:pPr>
            <w:r w:rsidRPr="00487EB6">
              <w:rPr>
                <w:rFonts w:ascii="Garamond" w:hAnsi="Garamond"/>
                <w:b/>
                <w:bCs/>
                <w:sz w:val="22"/>
                <w:szCs w:val="22"/>
              </w:rPr>
              <w:t>SZKOLENIA</w:t>
            </w:r>
          </w:p>
        </w:tc>
        <w:tc>
          <w:tcPr>
            <w:tcW w:w="198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Szkolenia dla personelu  medycznego z zakresu obsługi urządzenia (min. 50 osób z możliwością podziału i szkolenia w mniejszych podgrupach) w momencie jego instalacji i odbioru; w razie potrzeby Zamawiającego, możliwość stałego wsparcia aplikacyjnego w początkowym (do 6 -</w:t>
            </w:r>
            <w:proofErr w:type="spellStart"/>
            <w:r w:rsidRPr="00487EB6">
              <w:rPr>
                <w:rFonts w:ascii="Garamond" w:hAnsi="Garamond"/>
                <w:sz w:val="22"/>
                <w:szCs w:val="22"/>
              </w:rPr>
              <w:t>ciu</w:t>
            </w:r>
            <w:proofErr w:type="spellEnd"/>
            <w:r w:rsidRPr="00487EB6">
              <w:rPr>
                <w:rFonts w:ascii="Garamond" w:hAnsi="Garamond"/>
                <w:sz w:val="22"/>
                <w:szCs w:val="22"/>
              </w:rPr>
              <w:t xml:space="preserve"> miesięcy) okresie pracy urządzeń (dodatkowe szkolenie, dodatkowa grupa osób, konsultacje, itp.)</w:t>
            </w:r>
          </w:p>
        </w:tc>
        <w:tc>
          <w:tcPr>
            <w:tcW w:w="198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 xml:space="preserve">Szkolenia dla personelu technicznego (min. 4 osoby) z zakresu podstawowej diagnostyki stanu technicznego i wykonywania podstawowych czynności konserwacyjnych, diagnostycznych i przeglądowych; w razie potrzeby możliwość </w:t>
            </w:r>
            <w:r w:rsidRPr="00487EB6">
              <w:rPr>
                <w:rFonts w:ascii="Garamond" w:hAnsi="Garamond"/>
                <w:sz w:val="22"/>
                <w:szCs w:val="22"/>
              </w:rPr>
              <w:lastRenderedPageBreak/>
              <w:t>stałego wsparcia aplikacyjnego w początkowym (do 6-iu miesięcy) okresie pracy urządzeń (dodatkowe szkolenie, dodatkowa grupa osób, konsultacje, itp.)</w:t>
            </w:r>
          </w:p>
        </w:tc>
        <w:tc>
          <w:tcPr>
            <w:tcW w:w="198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lastRenderedPageBreak/>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Liczba i okres szkoleń:</w:t>
            </w:r>
          </w:p>
          <w:p w:rsidR="00E33A70" w:rsidRPr="00487EB6" w:rsidRDefault="00E33A70" w:rsidP="000D5ED2">
            <w:pPr>
              <w:widowControl/>
              <w:numPr>
                <w:ilvl w:val="0"/>
                <w:numId w:val="11"/>
              </w:numPr>
              <w:tabs>
                <w:tab w:val="num" w:pos="720"/>
              </w:tabs>
              <w:suppressAutoHyphens w:val="0"/>
              <w:spacing w:line="288" w:lineRule="auto"/>
              <w:ind w:left="0" w:firstLine="0"/>
              <w:rPr>
                <w:rFonts w:ascii="Garamond" w:hAnsi="Garamond"/>
                <w:sz w:val="22"/>
                <w:szCs w:val="22"/>
              </w:rPr>
            </w:pPr>
            <w:r w:rsidRPr="00487EB6">
              <w:rPr>
                <w:rFonts w:ascii="Garamond" w:hAnsi="Garamond"/>
                <w:sz w:val="22"/>
                <w:szCs w:val="22"/>
              </w:rPr>
              <w:t xml:space="preserve">pierwsze szkolenie - tuż po instalacji systemu, w wymiarze do 2 dni roboczych </w:t>
            </w:r>
          </w:p>
          <w:p w:rsidR="00E33A70" w:rsidRPr="00487EB6" w:rsidRDefault="00E33A70" w:rsidP="000D5ED2">
            <w:pPr>
              <w:widowControl/>
              <w:numPr>
                <w:ilvl w:val="0"/>
                <w:numId w:val="11"/>
              </w:numPr>
              <w:tabs>
                <w:tab w:val="num" w:pos="720"/>
              </w:tabs>
              <w:suppressAutoHyphens w:val="0"/>
              <w:spacing w:line="288" w:lineRule="auto"/>
              <w:ind w:left="0" w:firstLine="0"/>
              <w:rPr>
                <w:rFonts w:ascii="Garamond" w:hAnsi="Garamond"/>
                <w:sz w:val="22"/>
                <w:szCs w:val="22"/>
              </w:rPr>
            </w:pPr>
            <w:r w:rsidRPr="00487EB6">
              <w:rPr>
                <w:rFonts w:ascii="Garamond" w:hAnsi="Garamond"/>
                <w:sz w:val="22"/>
                <w:szCs w:val="22"/>
              </w:rPr>
              <w:t>dodatkowe, w razie potrzeby, w innym terminie ustalonym z kierownikiem pracowni,</w:t>
            </w:r>
          </w:p>
          <w:p w:rsidR="00E33A70" w:rsidRPr="00487EB6" w:rsidRDefault="00E33A70" w:rsidP="000D5ED2">
            <w:pPr>
              <w:spacing w:line="288" w:lineRule="auto"/>
              <w:rPr>
                <w:rFonts w:ascii="Garamond" w:eastAsia="Calibri" w:hAnsi="Garamond" w:cs="Calibri"/>
                <w:sz w:val="22"/>
                <w:szCs w:val="22"/>
              </w:rPr>
            </w:pPr>
            <w:r w:rsidRPr="00487EB6">
              <w:rPr>
                <w:rFonts w:ascii="Garamond" w:hAnsi="Garamond"/>
                <w:sz w:val="22"/>
                <w:szCs w:val="22"/>
              </w:rPr>
              <w:t>Uwaga – szkolenia dodatkowe dla wszystkich grup w co najmniej takiej samej liczbie osób jak podano w powyższych punktach</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before="100" w:beforeAutospacing="1" w:after="100" w:afterAutospacing="1"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rPr>
          <w:trHeight w:val="318"/>
        </w:trPr>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eastAsia="Calibri" w:hAnsi="Garamond" w:cs="Calibri"/>
                <w:b/>
                <w:bCs/>
                <w:sz w:val="22"/>
                <w:szCs w:val="22"/>
              </w:rPr>
            </w:pPr>
            <w:r w:rsidRPr="00487EB6">
              <w:rPr>
                <w:rFonts w:ascii="Garamond" w:hAnsi="Garamond"/>
                <w:b/>
                <w:bCs/>
                <w:sz w:val="22"/>
                <w:szCs w:val="22"/>
              </w:rPr>
              <w:t>DOKUMENTACJA</w:t>
            </w:r>
          </w:p>
        </w:tc>
        <w:tc>
          <w:tcPr>
            <w:tcW w:w="1985"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autoSpaceDE w:val="0"/>
              <w:snapToGrid w:val="0"/>
              <w:spacing w:line="288" w:lineRule="auto"/>
              <w:rPr>
                <w:rFonts w:ascii="Garamond" w:eastAsia="Calibri" w:hAnsi="Garamond" w:cs="Tahoma"/>
                <w:sz w:val="22"/>
                <w:szCs w:val="22"/>
              </w:rPr>
            </w:pPr>
            <w:r w:rsidRPr="00487EB6">
              <w:rPr>
                <w:rFonts w:ascii="Garamond" w:hAnsi="Garamond" w:cs="Tahoma"/>
                <w:sz w:val="22"/>
                <w:szCs w:val="22"/>
              </w:rPr>
              <w:t>Instrukcje obsługi w języku polskim w formie elektronicznej i drukowanej (przekazane w momencie dostawy dla każdego egzemplarza) – dotyczy także urządzeń peryferyjnych</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autoSpaceDE w:val="0"/>
              <w:snapToGrid w:val="0"/>
              <w:spacing w:line="288" w:lineRule="auto"/>
              <w:jc w:val="center"/>
              <w:rPr>
                <w:rFonts w:ascii="Garamond" w:eastAsia="Calibri" w:hAnsi="Garamond" w:cs="Tahoma"/>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 xml:space="preserve">Wykonawca w ramach dostawy sprzętu zobowiązuje się dostarczyć komplet akcesoriów, okablowania itp. asortymentu niezbędnego do uruchomienia i funkcjonowania aparatu jako </w:t>
            </w:r>
            <w:r w:rsidRPr="00487EB6">
              <w:rPr>
                <w:rFonts w:ascii="Garamond" w:hAnsi="Garamond"/>
                <w:sz w:val="22"/>
                <w:szCs w:val="22"/>
              </w:rPr>
              <w:lastRenderedPageBreak/>
              <w:t>całości w wymaganej specyfikacją konfiguracji</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lastRenderedPageBreak/>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Dokumentacja (lub tzw. lista kontrolna zawierająca wykaz części i czynności) dotycząca przeglądów technicznych w języku polskim (dostarczona przy dostawie)</w:t>
            </w:r>
          </w:p>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UWAGA – dokumentacja musi zapewnić co najmniej pełną diagnostykę urządzenia, wykonywanie drobnych napraw, regulacji, kalibracji, oraz przeglądów okresowych w standardzie wymaganym przez producenta</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pacing w:line="288" w:lineRule="auto"/>
              <w:rPr>
                <w:rFonts w:ascii="Garamond" w:eastAsia="Calibri" w:hAnsi="Garamond" w:cs="Calibri"/>
                <w:sz w:val="22"/>
                <w:szCs w:val="22"/>
              </w:rPr>
            </w:pPr>
            <w:r w:rsidRPr="00487EB6">
              <w:rPr>
                <w:rFonts w:ascii="Garamond" w:hAnsi="Garamond"/>
                <w:sz w:val="22"/>
                <w:szCs w:val="22"/>
              </w:rPr>
              <w:t xml:space="preserve">Instrukcja konserwacji, mycia, dezynfekcji i sterylizacji dla zaoferowanych elementów wraz z urządzeniami peryferyjnymi (jeśli dotyczy), dostarczona przy dostawie i wskazująca, że czynności te prawidłowo wykonane nie powodują </w:t>
            </w:r>
            <w:r w:rsidRPr="00487EB6">
              <w:rPr>
                <w:rFonts w:ascii="Garamond" w:hAnsi="Garamond"/>
                <w:sz w:val="22"/>
                <w:szCs w:val="22"/>
              </w:rPr>
              <w:lastRenderedPageBreak/>
              <w:t>utraty gwarancji</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lastRenderedPageBreak/>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rsidTr="00E33A70">
        <w:tc>
          <w:tcPr>
            <w:tcW w:w="709" w:type="dxa"/>
            <w:tcBorders>
              <w:top w:val="single" w:sz="4" w:space="0" w:color="auto"/>
              <w:left w:val="single" w:sz="4" w:space="0" w:color="auto"/>
              <w:bottom w:val="single" w:sz="4" w:space="0" w:color="auto"/>
              <w:right w:val="single" w:sz="4" w:space="0" w:color="auto"/>
            </w:tcBorders>
          </w:tcPr>
          <w:p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pacing w:line="288" w:lineRule="auto"/>
              <w:rPr>
                <w:rFonts w:ascii="Garamond" w:eastAsia="Calibri" w:hAnsi="Garamond" w:cs="Calibri"/>
                <w:sz w:val="22"/>
                <w:szCs w:val="22"/>
              </w:rPr>
            </w:pPr>
            <w:r w:rsidRPr="00487EB6">
              <w:rPr>
                <w:rFonts w:ascii="Garamond" w:hAnsi="Garamond"/>
                <w:sz w:val="22"/>
                <w:szCs w:val="22"/>
              </w:rPr>
              <w:t>Możliwość mycia i dezynfekcji poszczególnych elementów aparatów w oparciu o przedstawione przez wykonawcę zalecane preparaty myjące i dezynfekujące.</w:t>
            </w:r>
          </w:p>
          <w:p w:rsidR="00E33A70" w:rsidRPr="00487EB6" w:rsidRDefault="00E33A70" w:rsidP="000D5ED2">
            <w:pPr>
              <w:spacing w:line="288" w:lineRule="auto"/>
              <w:rPr>
                <w:rFonts w:ascii="Garamond" w:eastAsia="Calibri" w:hAnsi="Garamond" w:cs="Calibri"/>
                <w:i/>
                <w:sz w:val="22"/>
                <w:szCs w:val="22"/>
              </w:rPr>
            </w:pPr>
            <w:r w:rsidRPr="00487EB6">
              <w:rPr>
                <w:rFonts w:ascii="Garamond" w:hAnsi="Garamond"/>
                <w:i/>
                <w:sz w:val="22"/>
                <w:szCs w:val="22"/>
              </w:rPr>
              <w:t>UWAGA – zalecane środki powinny zawierać nazwy związków chemicznych, a nie tylko nazwy handlowe preparatów.</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Tak</w:t>
            </w:r>
          </w:p>
        </w:tc>
        <w:tc>
          <w:tcPr>
            <w:tcW w:w="4536" w:type="dxa"/>
            <w:tcBorders>
              <w:top w:val="single" w:sz="4" w:space="0" w:color="auto"/>
              <w:left w:val="single" w:sz="4" w:space="0" w:color="auto"/>
              <w:bottom w:val="single" w:sz="4" w:space="0" w:color="auto"/>
              <w:right w:val="single" w:sz="4" w:space="0" w:color="auto"/>
            </w:tcBorders>
            <w:vAlign w:val="center"/>
          </w:tcPr>
          <w:p w:rsidR="00E33A70" w:rsidRPr="00487EB6" w:rsidRDefault="00E33A70" w:rsidP="000D5ED2">
            <w:pPr>
              <w:spacing w:line="288" w:lineRule="auto"/>
              <w:jc w:val="center"/>
              <w:rPr>
                <w:rFonts w:ascii="Garamond" w:eastAsia="Calibri" w:hAnsi="Garamond" w:cs="Calibri"/>
                <w: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bl>
    <w:p w:rsidR="00A545D4" w:rsidRPr="00487EB6" w:rsidRDefault="00A545D4" w:rsidP="000D5ED2">
      <w:pPr>
        <w:spacing w:line="288" w:lineRule="auto"/>
        <w:rPr>
          <w:rFonts w:ascii="Garamond" w:eastAsia="Calibri" w:hAnsi="Garamond" w:cs="Calibri"/>
          <w:b/>
          <w:sz w:val="22"/>
          <w:szCs w:val="22"/>
        </w:rPr>
      </w:pPr>
    </w:p>
    <w:p w:rsidR="00A545D4" w:rsidRPr="00487EB6" w:rsidRDefault="00A545D4" w:rsidP="000D5ED2">
      <w:pPr>
        <w:spacing w:line="288" w:lineRule="auto"/>
        <w:rPr>
          <w:rFonts w:ascii="Garamond" w:eastAsia="Calibri" w:hAnsi="Garamond" w:cs="Calibri"/>
          <w:b/>
          <w:sz w:val="22"/>
          <w:szCs w:val="22"/>
        </w:rPr>
      </w:pPr>
    </w:p>
    <w:p w:rsidR="00A545D4" w:rsidRPr="00487EB6" w:rsidRDefault="00A545D4" w:rsidP="000D5ED2">
      <w:pPr>
        <w:spacing w:line="288" w:lineRule="auto"/>
        <w:rPr>
          <w:rFonts w:ascii="Garamond" w:hAnsi="Garamond"/>
          <w:sz w:val="22"/>
          <w:szCs w:val="22"/>
        </w:rPr>
      </w:pPr>
    </w:p>
    <w:p w:rsidR="00A545D4" w:rsidRPr="00487EB6" w:rsidRDefault="00A545D4" w:rsidP="000D5ED2">
      <w:pPr>
        <w:tabs>
          <w:tab w:val="left" w:pos="2116"/>
        </w:tabs>
        <w:spacing w:line="288" w:lineRule="auto"/>
        <w:rPr>
          <w:rFonts w:ascii="Garamond" w:hAnsi="Garamond"/>
          <w:sz w:val="22"/>
          <w:szCs w:val="22"/>
        </w:rPr>
      </w:pPr>
    </w:p>
    <w:sectPr w:rsidR="00A545D4" w:rsidRPr="00487EB6" w:rsidSect="00812247">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BE6" w:rsidRDefault="00111BE6" w:rsidP="00812247">
      <w:r>
        <w:separator/>
      </w:r>
    </w:p>
  </w:endnote>
  <w:endnote w:type="continuationSeparator" w:id="0">
    <w:p w:rsidR="00111BE6" w:rsidRDefault="00111BE6" w:rsidP="0081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Comic Sans MS">
    <w:panose1 w:val="030F0702030302020204"/>
    <w:charset w:val="EE"/>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A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BE6" w:rsidRDefault="00111BE6" w:rsidP="00812247">
      <w:r>
        <w:separator/>
      </w:r>
    </w:p>
  </w:footnote>
  <w:footnote w:type="continuationSeparator" w:id="0">
    <w:p w:rsidR="00111BE6" w:rsidRDefault="00111BE6" w:rsidP="008122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26B" w:rsidRDefault="002D426B" w:rsidP="00812247">
    <w:pPr>
      <w:pStyle w:val="Nagwek"/>
      <w:jc w:val="center"/>
    </w:pPr>
    <w:r>
      <w:rPr>
        <w:noProof/>
        <w:sz w:val="18"/>
        <w:szCs w:val="18"/>
      </w:rPr>
      <w:drawing>
        <wp:inline distT="0" distB="0" distL="0" distR="0" wp14:anchorId="69D7A1EF" wp14:editId="106C366D">
          <wp:extent cx="7578090" cy="865505"/>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rsidR="002D426B" w:rsidRDefault="002D426B" w:rsidP="00812247">
    <w:pPr>
      <w:pStyle w:val="Nagwek"/>
      <w:jc w:val="center"/>
    </w:pPr>
  </w:p>
  <w:p w:rsidR="002D426B" w:rsidRPr="00C97DB4" w:rsidRDefault="002D426B" w:rsidP="00812247">
    <w:pPr>
      <w:pStyle w:val="Nagwek"/>
      <w:jc w:val="center"/>
      <w:rPr>
        <w:rFonts w:ascii="Garamond" w:hAnsi="Garamond"/>
        <w:sz w:val="22"/>
        <w:szCs w:val="22"/>
      </w:rPr>
    </w:pPr>
  </w:p>
  <w:p w:rsidR="002D426B" w:rsidRDefault="002D426B" w:rsidP="00C97DB4">
    <w:pPr>
      <w:widowControl/>
      <w:tabs>
        <w:tab w:val="center" w:pos="4536"/>
        <w:tab w:val="right" w:pos="14040"/>
      </w:tabs>
      <w:suppressAutoHyphens w:val="0"/>
      <w:rPr>
        <w:rFonts w:ascii="Garamond" w:hAnsi="Garamond"/>
        <w:kern w:val="0"/>
        <w:sz w:val="22"/>
        <w:szCs w:val="22"/>
      </w:rPr>
    </w:pPr>
    <w:r w:rsidRPr="00C97DB4">
      <w:rPr>
        <w:rFonts w:ascii="Garamond" w:hAnsi="Garamond"/>
        <w:sz w:val="22"/>
        <w:szCs w:val="22"/>
      </w:rPr>
      <w:t>NSSU.DFP.271.43.2019.KB</w:t>
    </w:r>
    <w:r>
      <w:tab/>
    </w:r>
    <w:r>
      <w:tab/>
      <w:t>z</w:t>
    </w:r>
    <w:r w:rsidRPr="00FF03BC">
      <w:rPr>
        <w:rFonts w:ascii="Garamond" w:hAnsi="Garamond"/>
        <w:kern w:val="0"/>
        <w:sz w:val="22"/>
        <w:szCs w:val="22"/>
      </w:rPr>
      <w:t>ałącznik nr 1a do specyfikacji</w:t>
    </w:r>
  </w:p>
  <w:p w:rsidR="002D426B" w:rsidRPr="00C53912" w:rsidRDefault="002D426B" w:rsidP="00C97DB4">
    <w:pPr>
      <w:widowControl/>
      <w:tabs>
        <w:tab w:val="center" w:pos="4536"/>
        <w:tab w:val="right" w:pos="14040"/>
      </w:tabs>
      <w:suppressAutoHyphens w:val="0"/>
      <w:rPr>
        <w:rFonts w:ascii="Garamond" w:hAnsi="Garamond"/>
        <w:kern w:val="0"/>
        <w:sz w:val="22"/>
        <w:szCs w:val="22"/>
      </w:rPr>
    </w:pPr>
    <w:r>
      <w:rPr>
        <w:rFonts w:ascii="Garamond" w:hAnsi="Garamond"/>
        <w:kern w:val="0"/>
        <w:sz w:val="22"/>
        <w:szCs w:val="22"/>
      </w:rPr>
      <w:tab/>
    </w:r>
    <w:r>
      <w:rPr>
        <w:rFonts w:ascii="Garamond" w:hAnsi="Garamond"/>
        <w:kern w:val="0"/>
        <w:sz w:val="22"/>
        <w:szCs w:val="22"/>
      </w:rPr>
      <w:tab/>
    </w:r>
    <w:r w:rsidRPr="00FF03BC">
      <w:rPr>
        <w:rFonts w:ascii="Garamond" w:hAnsi="Garamond"/>
        <w:kern w:val="0"/>
        <w:sz w:val="22"/>
        <w:szCs w:val="22"/>
      </w:rPr>
      <w:t>Załącznik nr …… do umowy</w:t>
    </w:r>
  </w:p>
  <w:p w:rsidR="002D426B" w:rsidRDefault="002D426B" w:rsidP="00C97DB4">
    <w:pPr>
      <w:pStyle w:val="Nagwek"/>
    </w:pPr>
  </w:p>
  <w:p w:rsidR="002D426B" w:rsidRDefault="002D426B" w:rsidP="00C97DB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4"/>
    <w:multiLevelType w:val="singleLevel"/>
    <w:tmpl w:val="9E02435C"/>
    <w:name w:val="WW8Num4"/>
    <w:lvl w:ilvl="0">
      <w:start w:val="1"/>
      <w:numFmt w:val="decimal"/>
      <w:lvlText w:val="%1."/>
      <w:lvlJc w:val="center"/>
      <w:pPr>
        <w:tabs>
          <w:tab w:val="num" w:pos="720"/>
        </w:tabs>
        <w:ind w:left="720" w:hanging="360"/>
      </w:pPr>
      <w:rPr>
        <w:rFonts w:ascii="Times New Roman" w:eastAsia="Times New Roman" w:hAnsi="Times New Roman" w:cs="Times New Roman" w:hint="default"/>
        <w:b w:val="0"/>
        <w:bCs w:val="0"/>
      </w:rPr>
    </w:lvl>
  </w:abstractNum>
  <w:abstractNum w:abstractNumId="4" w15:restartNumberingAfterBreak="0">
    <w:nsid w:val="0C013FCF"/>
    <w:multiLevelType w:val="hybridMultilevel"/>
    <w:tmpl w:val="874E48FC"/>
    <w:lvl w:ilvl="0" w:tplc="5E5EC80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0BC2A49"/>
    <w:multiLevelType w:val="hybridMultilevel"/>
    <w:tmpl w:val="FB7AFF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071F1A"/>
    <w:multiLevelType w:val="hybridMultilevel"/>
    <w:tmpl w:val="A07A0FA2"/>
    <w:lvl w:ilvl="0" w:tplc="291ED5D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F506C2"/>
    <w:multiLevelType w:val="hybridMultilevel"/>
    <w:tmpl w:val="FF947D72"/>
    <w:lvl w:ilvl="0" w:tplc="291ED5D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615AD5"/>
    <w:multiLevelType w:val="hybridMultilevel"/>
    <w:tmpl w:val="C11CCF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8D0E85"/>
    <w:multiLevelType w:val="hybridMultilevel"/>
    <w:tmpl w:val="594C31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B0C44CF"/>
    <w:multiLevelType w:val="hybridMultilevel"/>
    <w:tmpl w:val="F00806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C2D25C4"/>
    <w:multiLevelType w:val="hybridMultilevel"/>
    <w:tmpl w:val="FE4C3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64714E"/>
    <w:multiLevelType w:val="hybridMultilevel"/>
    <w:tmpl w:val="98322D4C"/>
    <w:lvl w:ilvl="0" w:tplc="126AC6D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B6E2031"/>
    <w:multiLevelType w:val="hybridMultilevel"/>
    <w:tmpl w:val="D5303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F962729"/>
    <w:multiLevelType w:val="hybridMultilevel"/>
    <w:tmpl w:val="BC965858"/>
    <w:lvl w:ilvl="0" w:tplc="BEE61AE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CC35D8"/>
    <w:multiLevelType w:val="hybridMultilevel"/>
    <w:tmpl w:val="D5303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6"/>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lvlOverride w:ilvl="0">
      <w:startOverride w:val="1"/>
    </w:lvlOverride>
  </w:num>
  <w:num w:numId="7">
    <w:abstractNumId w:val="15"/>
  </w:num>
  <w:num w:numId="8">
    <w:abstractNumId w:val="12"/>
  </w:num>
  <w:num w:numId="9">
    <w:abstractNumId w:val="0"/>
  </w:num>
  <w:num w:numId="10">
    <w:abstractNumId w:val="4"/>
  </w:num>
  <w:num w:numId="11">
    <w:abstractNumId w:val="2"/>
  </w:num>
  <w:num w:numId="12">
    <w:abstractNumId w:val="11"/>
  </w:num>
  <w:num w:numId="13">
    <w:abstractNumId w:val="7"/>
  </w:num>
  <w:num w:numId="14">
    <w:abstractNumId w:val="8"/>
  </w:num>
  <w:num w:numId="15">
    <w:abstractNumId w:val="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699"/>
    <w:rsid w:val="000078FA"/>
    <w:rsid w:val="000463EA"/>
    <w:rsid w:val="00093154"/>
    <w:rsid w:val="000A714C"/>
    <w:rsid w:val="000D5ED2"/>
    <w:rsid w:val="00111BE6"/>
    <w:rsid w:val="00191483"/>
    <w:rsid w:val="001E5F9F"/>
    <w:rsid w:val="00216941"/>
    <w:rsid w:val="00282B86"/>
    <w:rsid w:val="002B651B"/>
    <w:rsid w:val="002C49C8"/>
    <w:rsid w:val="002D426B"/>
    <w:rsid w:val="002D7D50"/>
    <w:rsid w:val="00387490"/>
    <w:rsid w:val="00485AC0"/>
    <w:rsid w:val="00487EB6"/>
    <w:rsid w:val="004B31BE"/>
    <w:rsid w:val="004B69D6"/>
    <w:rsid w:val="0057259B"/>
    <w:rsid w:val="005818D4"/>
    <w:rsid w:val="005F3DB7"/>
    <w:rsid w:val="005F586E"/>
    <w:rsid w:val="006042E4"/>
    <w:rsid w:val="00650F34"/>
    <w:rsid w:val="006C2E67"/>
    <w:rsid w:val="006F6F88"/>
    <w:rsid w:val="00736E47"/>
    <w:rsid w:val="00745EB6"/>
    <w:rsid w:val="00767699"/>
    <w:rsid w:val="007A270B"/>
    <w:rsid w:val="007A41E4"/>
    <w:rsid w:val="007D6AE5"/>
    <w:rsid w:val="007D6C75"/>
    <w:rsid w:val="00812247"/>
    <w:rsid w:val="008912AB"/>
    <w:rsid w:val="0090492E"/>
    <w:rsid w:val="00A545D4"/>
    <w:rsid w:val="00A60EDF"/>
    <w:rsid w:val="00BB60C8"/>
    <w:rsid w:val="00C8575C"/>
    <w:rsid w:val="00C85B5F"/>
    <w:rsid w:val="00C97DB4"/>
    <w:rsid w:val="00CE466C"/>
    <w:rsid w:val="00D13D7E"/>
    <w:rsid w:val="00D32DEC"/>
    <w:rsid w:val="00DD66FD"/>
    <w:rsid w:val="00E16047"/>
    <w:rsid w:val="00E33A70"/>
    <w:rsid w:val="00E41267"/>
    <w:rsid w:val="00E72415"/>
    <w:rsid w:val="00EE4B15"/>
    <w:rsid w:val="00F50EDC"/>
    <w:rsid w:val="00FC6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0222"/>
  <w15:chartTrackingRefBased/>
  <w15:docId w15:val="{965B28E1-C318-4478-B680-6DF1C3DA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2247"/>
    <w:pPr>
      <w:widowControl w:val="0"/>
      <w:suppressAutoHyphens/>
      <w:spacing w:after="0" w:line="240" w:lineRule="auto"/>
    </w:pPr>
    <w:rPr>
      <w:rFonts w:ascii="Times New Roman" w:eastAsia="Andale Sans UI" w:hAnsi="Times New Roman" w:cs="Times New Roman"/>
      <w:kern w:val="2"/>
      <w:sz w:val="24"/>
      <w:szCs w:val="24"/>
      <w:lang w:eastAsia="pl-PL"/>
    </w:rPr>
  </w:style>
  <w:style w:type="paragraph" w:styleId="Nagwek1">
    <w:name w:val="heading 1"/>
    <w:basedOn w:val="Normalny"/>
    <w:next w:val="Normalny"/>
    <w:link w:val="Nagwek1Znak"/>
    <w:qFormat/>
    <w:rsid w:val="00A545D4"/>
    <w:pPr>
      <w:keepNext/>
      <w:shd w:val="clear" w:color="auto" w:fill="FFFFFF"/>
      <w:tabs>
        <w:tab w:val="num" w:pos="0"/>
      </w:tabs>
      <w:ind w:left="5"/>
      <w:outlineLvl w:val="0"/>
    </w:pPr>
    <w:rPr>
      <w:b/>
      <w:bCs/>
      <w:kern w:val="1"/>
      <w:sz w:val="14"/>
      <w:szCs w:val="14"/>
    </w:rPr>
  </w:style>
  <w:style w:type="paragraph" w:styleId="Nagwek2">
    <w:name w:val="heading 2"/>
    <w:basedOn w:val="Normalny"/>
    <w:next w:val="Normalny"/>
    <w:link w:val="Nagwek2Znak"/>
    <w:qFormat/>
    <w:rsid w:val="00A545D4"/>
    <w:pPr>
      <w:keepNext/>
      <w:shd w:val="clear" w:color="auto" w:fill="FFFFFF"/>
      <w:tabs>
        <w:tab w:val="num" w:pos="0"/>
      </w:tabs>
      <w:ind w:left="10"/>
      <w:outlineLvl w:val="1"/>
    </w:pPr>
    <w:rPr>
      <w:b/>
      <w:bCs/>
      <w:kern w:val="1"/>
      <w:sz w:val="14"/>
      <w:szCs w:val="14"/>
    </w:rPr>
  </w:style>
  <w:style w:type="paragraph" w:styleId="Nagwek3">
    <w:name w:val="heading 3"/>
    <w:basedOn w:val="Normalny"/>
    <w:next w:val="Normalny"/>
    <w:link w:val="Nagwek3Znak"/>
    <w:unhideWhenUsed/>
    <w:qFormat/>
    <w:rsid w:val="00A545D4"/>
    <w:pPr>
      <w:keepNext/>
      <w:widowControl/>
      <w:numPr>
        <w:ilvl w:val="2"/>
        <w:numId w:val="4"/>
      </w:numPr>
      <w:outlineLvl w:val="2"/>
    </w:pPr>
    <w:rPr>
      <w:rFonts w:ascii="Comic Sans MS" w:eastAsia="Times New Roman" w:hAnsi="Comic Sans MS"/>
      <w:b/>
      <w:bCs/>
      <w:sz w:val="18"/>
      <w:szCs w:val="22"/>
      <w:lang w:eastAsia="ar-SA"/>
    </w:rPr>
  </w:style>
  <w:style w:type="paragraph" w:styleId="Nagwek4">
    <w:name w:val="heading 4"/>
    <w:basedOn w:val="Normalny"/>
    <w:next w:val="Normalny"/>
    <w:link w:val="Nagwek4Znak"/>
    <w:qFormat/>
    <w:rsid w:val="00A545D4"/>
    <w:pPr>
      <w:keepNext/>
      <w:tabs>
        <w:tab w:val="num" w:pos="0"/>
      </w:tabs>
      <w:ind w:left="864" w:hanging="864"/>
      <w:jc w:val="center"/>
      <w:outlineLvl w:val="3"/>
    </w:pPr>
    <w:rPr>
      <w:rFonts w:eastAsia="Arial Unicode MS"/>
      <w:b/>
      <w:kern w:val="1"/>
      <w:sz w:val="28"/>
    </w:rPr>
  </w:style>
  <w:style w:type="paragraph" w:styleId="Nagwek5">
    <w:name w:val="heading 5"/>
    <w:basedOn w:val="Normalny"/>
    <w:next w:val="Normalny"/>
    <w:link w:val="Nagwek5Znak"/>
    <w:qFormat/>
    <w:rsid w:val="00A545D4"/>
    <w:pPr>
      <w:keepNext/>
      <w:shd w:val="clear" w:color="auto" w:fill="FFFFFF"/>
      <w:tabs>
        <w:tab w:val="num" w:pos="0"/>
      </w:tabs>
      <w:ind w:right="140"/>
      <w:outlineLvl w:val="4"/>
    </w:pPr>
    <w:rPr>
      <w:rFonts w:cs="Arial"/>
      <w:b/>
      <w:bCs/>
      <w:kern w:val="1"/>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545D4"/>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A545D4"/>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A545D4"/>
    <w:rPr>
      <w:rFonts w:ascii="Comic Sans MS" w:eastAsia="Times New Roman" w:hAnsi="Comic Sans MS" w:cs="Times New Roman"/>
      <w:b/>
      <w:bCs/>
      <w:kern w:val="2"/>
      <w:sz w:val="18"/>
      <w:lang w:eastAsia="ar-SA"/>
    </w:rPr>
  </w:style>
  <w:style w:type="character" w:customStyle="1" w:styleId="Nagwek4Znak">
    <w:name w:val="Nagłówek 4 Znak"/>
    <w:basedOn w:val="Domylnaczcionkaakapitu"/>
    <w:link w:val="Nagwek4"/>
    <w:rsid w:val="00A545D4"/>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A545D4"/>
    <w:rPr>
      <w:rFonts w:ascii="Times New Roman" w:eastAsia="Andale Sans UI" w:hAnsi="Times New Roman" w:cs="Arial"/>
      <w:b/>
      <w:bCs/>
      <w:kern w:val="1"/>
      <w:sz w:val="20"/>
      <w:szCs w:val="24"/>
      <w:shd w:val="clear" w:color="auto" w:fill="FFFFFF"/>
      <w:lang w:eastAsia="pl-PL"/>
    </w:rPr>
  </w:style>
  <w:style w:type="paragraph" w:styleId="Nagwek">
    <w:name w:val="header"/>
    <w:basedOn w:val="Normalny"/>
    <w:link w:val="NagwekZnak"/>
    <w:uiPriority w:val="99"/>
    <w:unhideWhenUsed/>
    <w:rsid w:val="00812247"/>
    <w:pPr>
      <w:tabs>
        <w:tab w:val="center" w:pos="4536"/>
        <w:tab w:val="right" w:pos="9072"/>
      </w:tabs>
    </w:pPr>
  </w:style>
  <w:style w:type="character" w:customStyle="1" w:styleId="NagwekZnak">
    <w:name w:val="Nagłówek Znak"/>
    <w:basedOn w:val="Domylnaczcionkaakapitu"/>
    <w:link w:val="Nagwek"/>
    <w:uiPriority w:val="99"/>
    <w:rsid w:val="00812247"/>
  </w:style>
  <w:style w:type="paragraph" w:styleId="Stopka">
    <w:name w:val="footer"/>
    <w:basedOn w:val="Normalny"/>
    <w:link w:val="StopkaZnak"/>
    <w:unhideWhenUsed/>
    <w:rsid w:val="00812247"/>
    <w:pPr>
      <w:tabs>
        <w:tab w:val="center" w:pos="4536"/>
        <w:tab w:val="right" w:pos="9072"/>
      </w:tabs>
    </w:pPr>
  </w:style>
  <w:style w:type="character" w:customStyle="1" w:styleId="StopkaZnak">
    <w:name w:val="Stopka Znak"/>
    <w:basedOn w:val="Domylnaczcionkaakapitu"/>
    <w:link w:val="Stopka"/>
    <w:rsid w:val="00812247"/>
  </w:style>
  <w:style w:type="paragraph" w:customStyle="1" w:styleId="Skrconyadreszwrotny">
    <w:name w:val="Skrócony adres zwrotny"/>
    <w:basedOn w:val="Normalny"/>
    <w:rsid w:val="00812247"/>
    <w:rPr>
      <w:kern w:val="1"/>
      <w:szCs w:val="20"/>
    </w:rPr>
  </w:style>
  <w:style w:type="paragraph" w:customStyle="1" w:styleId="Zawartotabeli">
    <w:name w:val="Zawartość tabeli"/>
    <w:basedOn w:val="Normalny"/>
    <w:rsid w:val="00812247"/>
    <w:pPr>
      <w:suppressLineNumbers/>
    </w:pPr>
  </w:style>
  <w:style w:type="paragraph" w:customStyle="1" w:styleId="Standard">
    <w:name w:val="Standard"/>
    <w:rsid w:val="0081224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Akapitzlist">
    <w:name w:val="List Paragraph"/>
    <w:aliases w:val="Numerowanie,List Paragraph,Akapit z listą BS,Kolorowa lista — akcent 11,sw tekst"/>
    <w:basedOn w:val="Normalny"/>
    <w:link w:val="AkapitzlistZnak"/>
    <w:uiPriority w:val="34"/>
    <w:qFormat/>
    <w:rsid w:val="00812247"/>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812247"/>
  </w:style>
  <w:style w:type="paragraph" w:customStyle="1" w:styleId="Lista-kontynuacja21">
    <w:name w:val="Lista - kontynuacja 21"/>
    <w:basedOn w:val="Normalny"/>
    <w:rsid w:val="00A545D4"/>
    <w:pPr>
      <w:widowControl/>
      <w:spacing w:after="160"/>
      <w:ind w:left="1080" w:hanging="360"/>
    </w:pPr>
    <w:rPr>
      <w:rFonts w:eastAsia="Times New Roman"/>
      <w:sz w:val="20"/>
      <w:szCs w:val="20"/>
      <w:lang w:eastAsia="ar-SA"/>
    </w:rPr>
  </w:style>
  <w:style w:type="paragraph" w:customStyle="1" w:styleId="MD-IOtekstzwyky1">
    <w:name w:val="MD-IO tekst zwykły 1"/>
    <w:basedOn w:val="Normalny"/>
    <w:rsid w:val="00A545D4"/>
    <w:pPr>
      <w:widowControl/>
      <w:tabs>
        <w:tab w:val="left" w:pos="709"/>
      </w:tabs>
      <w:suppressAutoHyphens w:val="0"/>
      <w:spacing w:before="60" w:after="60"/>
      <w:jc w:val="both"/>
    </w:pPr>
    <w:rPr>
      <w:rFonts w:eastAsia="Times New Roman"/>
      <w:sz w:val="28"/>
      <w:szCs w:val="28"/>
      <w:lang w:eastAsia="ar-SA"/>
    </w:rPr>
  </w:style>
  <w:style w:type="character" w:customStyle="1" w:styleId="TekstdymkaZnak">
    <w:name w:val="Tekst dymka Znak"/>
    <w:basedOn w:val="Domylnaczcionkaakapitu"/>
    <w:link w:val="Tekstdymka"/>
    <w:uiPriority w:val="99"/>
    <w:semiHidden/>
    <w:rsid w:val="00A545D4"/>
    <w:rPr>
      <w:rFonts w:ascii="Tahoma" w:eastAsia="Times New Roman" w:hAnsi="Tahoma" w:cs="Tahoma"/>
      <w:kern w:val="2"/>
      <w:sz w:val="16"/>
      <w:szCs w:val="16"/>
      <w:lang w:eastAsia="ar-SA"/>
    </w:rPr>
  </w:style>
  <w:style w:type="paragraph" w:styleId="Tekstdymka">
    <w:name w:val="Balloon Text"/>
    <w:basedOn w:val="Normalny"/>
    <w:link w:val="TekstdymkaZnak"/>
    <w:uiPriority w:val="99"/>
    <w:semiHidden/>
    <w:unhideWhenUsed/>
    <w:rsid w:val="00A545D4"/>
    <w:pPr>
      <w:widowControl/>
    </w:pPr>
    <w:rPr>
      <w:rFonts w:ascii="Tahoma" w:eastAsia="Times New Roman" w:hAnsi="Tahoma" w:cs="Tahoma"/>
      <w:sz w:val="16"/>
      <w:szCs w:val="16"/>
      <w:lang w:eastAsia="ar-SA"/>
    </w:rPr>
  </w:style>
  <w:style w:type="paragraph" w:customStyle="1" w:styleId="AbsatzTableFormat">
    <w:name w:val="AbsatzTableFormat"/>
    <w:basedOn w:val="Normalny"/>
    <w:rsid w:val="00A545D4"/>
    <w:pPr>
      <w:widowControl/>
      <w:suppressAutoHyphens w:val="0"/>
    </w:pPr>
    <w:rPr>
      <w:rFonts w:eastAsia="Times New Roman"/>
      <w:kern w:val="1"/>
      <w:sz w:val="16"/>
      <w:szCs w:val="16"/>
    </w:rPr>
  </w:style>
  <w:style w:type="paragraph" w:customStyle="1" w:styleId="Lista-kontynuacja24">
    <w:name w:val="Lista - kontynuacja 24"/>
    <w:basedOn w:val="Normalny"/>
    <w:rsid w:val="00A545D4"/>
    <w:pPr>
      <w:spacing w:after="120"/>
      <w:ind w:left="566"/>
    </w:pPr>
    <w:rPr>
      <w:lang w:eastAsia="ar-SA"/>
    </w:rPr>
  </w:style>
  <w:style w:type="paragraph" w:styleId="Tytu">
    <w:name w:val="Title"/>
    <w:basedOn w:val="Standard"/>
    <w:next w:val="Podtytu"/>
    <w:link w:val="TytuZnak"/>
    <w:qFormat/>
    <w:rsid w:val="00A545D4"/>
    <w:pPr>
      <w:jc w:val="center"/>
    </w:pPr>
    <w:rPr>
      <w:rFonts w:ascii="Garamond" w:eastAsia="Times New Roman" w:hAnsi="Garamond" w:cs="Times New Roman"/>
      <w:b/>
      <w:sz w:val="22"/>
      <w:szCs w:val="22"/>
      <w:lang w:bidi="ar-SA"/>
    </w:rPr>
  </w:style>
  <w:style w:type="paragraph" w:styleId="Podtytu">
    <w:name w:val="Subtitle"/>
    <w:basedOn w:val="Normalny"/>
    <w:next w:val="Normalny"/>
    <w:link w:val="PodtytuZnak"/>
    <w:uiPriority w:val="11"/>
    <w:qFormat/>
    <w:rsid w:val="00A545D4"/>
    <w:pPr>
      <w:widowControl/>
      <w:numPr>
        <w:ilvl w:val="1"/>
      </w:numPr>
    </w:pPr>
    <w:rPr>
      <w:rFonts w:asciiTheme="majorHAnsi" w:eastAsiaTheme="majorEastAsia" w:hAnsiTheme="majorHAnsi" w:cstheme="majorBidi"/>
      <w:i/>
      <w:iCs/>
      <w:color w:val="5B9BD5" w:themeColor="accent1"/>
      <w:spacing w:val="15"/>
      <w:lang w:eastAsia="ar-SA"/>
    </w:rPr>
  </w:style>
  <w:style w:type="character" w:customStyle="1" w:styleId="PodtytuZnak">
    <w:name w:val="Podtytuł Znak"/>
    <w:basedOn w:val="Domylnaczcionkaakapitu"/>
    <w:link w:val="Podtytu"/>
    <w:uiPriority w:val="11"/>
    <w:rsid w:val="00A545D4"/>
    <w:rPr>
      <w:rFonts w:asciiTheme="majorHAnsi" w:eastAsiaTheme="majorEastAsia" w:hAnsiTheme="majorHAnsi" w:cstheme="majorBidi"/>
      <w:i/>
      <w:iCs/>
      <w:color w:val="5B9BD5" w:themeColor="accent1"/>
      <w:spacing w:val="15"/>
      <w:kern w:val="2"/>
      <w:sz w:val="24"/>
      <w:szCs w:val="24"/>
      <w:lang w:eastAsia="ar-SA"/>
    </w:rPr>
  </w:style>
  <w:style w:type="character" w:customStyle="1" w:styleId="TytuZnak">
    <w:name w:val="Tytuł Znak"/>
    <w:basedOn w:val="Domylnaczcionkaakapitu"/>
    <w:link w:val="Tytu"/>
    <w:rsid w:val="00A545D4"/>
    <w:rPr>
      <w:rFonts w:ascii="Garamond" w:eastAsia="Times New Roman" w:hAnsi="Garamond" w:cs="Times New Roman"/>
      <w:b/>
      <w:kern w:val="3"/>
      <w:lang w:eastAsia="zh-CN"/>
    </w:rPr>
  </w:style>
  <w:style w:type="paragraph" w:styleId="Tekstkomentarza">
    <w:name w:val="annotation text"/>
    <w:basedOn w:val="Normalny"/>
    <w:link w:val="TekstkomentarzaZnak"/>
    <w:uiPriority w:val="99"/>
    <w:semiHidden/>
    <w:unhideWhenUsed/>
    <w:rsid w:val="00A545D4"/>
    <w:pPr>
      <w:widowControl/>
    </w:pPr>
    <w:rPr>
      <w:rFonts w:eastAsia="Times New Roman"/>
      <w:sz w:val="20"/>
      <w:szCs w:val="20"/>
      <w:lang w:eastAsia="ar-SA"/>
    </w:rPr>
  </w:style>
  <w:style w:type="character" w:customStyle="1" w:styleId="TekstkomentarzaZnak">
    <w:name w:val="Tekst komentarza Znak"/>
    <w:basedOn w:val="Domylnaczcionkaakapitu"/>
    <w:link w:val="Tekstkomentarza"/>
    <w:uiPriority w:val="99"/>
    <w:semiHidden/>
    <w:rsid w:val="00A545D4"/>
    <w:rPr>
      <w:rFonts w:ascii="Times New Roman" w:eastAsia="Times New Roman" w:hAnsi="Times New Roman" w:cs="Times New Roman"/>
      <w:kern w:val="2"/>
      <w:sz w:val="20"/>
      <w:szCs w:val="20"/>
      <w:lang w:eastAsia="ar-SA"/>
    </w:rPr>
  </w:style>
  <w:style w:type="character" w:customStyle="1" w:styleId="TematkomentarzaZnak">
    <w:name w:val="Temat komentarza Znak"/>
    <w:basedOn w:val="TekstkomentarzaZnak"/>
    <w:link w:val="Tematkomentarza"/>
    <w:uiPriority w:val="99"/>
    <w:semiHidden/>
    <w:rsid w:val="00A545D4"/>
    <w:rPr>
      <w:rFonts w:ascii="Times New Roman" w:eastAsia="Times New Roman" w:hAnsi="Times New Roman" w:cs="Times New Roman"/>
      <w:b/>
      <w:bCs/>
      <w:kern w:val="2"/>
      <w:sz w:val="20"/>
      <w:szCs w:val="20"/>
      <w:lang w:eastAsia="ar-SA"/>
    </w:rPr>
  </w:style>
  <w:style w:type="paragraph" w:styleId="Tematkomentarza">
    <w:name w:val="annotation subject"/>
    <w:basedOn w:val="Tekstkomentarza"/>
    <w:next w:val="Tekstkomentarza"/>
    <w:link w:val="TematkomentarzaZnak"/>
    <w:uiPriority w:val="99"/>
    <w:semiHidden/>
    <w:unhideWhenUsed/>
    <w:rsid w:val="00A545D4"/>
    <w:rPr>
      <w:b/>
      <w:bCs/>
    </w:rPr>
  </w:style>
  <w:style w:type="paragraph" w:customStyle="1" w:styleId="Domynie">
    <w:name w:val="Domy徑nie"/>
    <w:rsid w:val="00A545D4"/>
    <w:pPr>
      <w:autoSpaceDE w:val="0"/>
      <w:autoSpaceDN w:val="0"/>
      <w:adjustRightInd w:val="0"/>
      <w:spacing w:after="200" w:line="276" w:lineRule="auto"/>
    </w:pPr>
    <w:rPr>
      <w:rFonts w:ascii="Calibri" w:eastAsia="Times New Roman" w:hAnsi="Lucida Sans Unicode" w:cs="Calibri"/>
      <w:kern w:val="1"/>
      <w:lang w:val="en-GB"/>
    </w:rPr>
  </w:style>
  <w:style w:type="paragraph" w:customStyle="1" w:styleId="Domylnie">
    <w:name w:val="Domy?lnie"/>
    <w:rsid w:val="00A545D4"/>
    <w:pPr>
      <w:autoSpaceDE w:val="0"/>
      <w:autoSpaceDN w:val="0"/>
      <w:adjustRightInd w:val="0"/>
      <w:spacing w:after="0" w:line="240" w:lineRule="auto"/>
    </w:pPr>
    <w:rPr>
      <w:rFonts w:ascii="Times New Roman" w:eastAsia="Times New Roman" w:hAnsi="Times New Roman" w:cs="Times New Roman"/>
      <w:sz w:val="24"/>
      <w:szCs w:val="24"/>
      <w:lang w:val="en-GB" w:eastAsia="zh-CN"/>
    </w:rPr>
  </w:style>
  <w:style w:type="character" w:styleId="Hipercze">
    <w:name w:val="Hyperlink"/>
    <w:basedOn w:val="Domylnaczcionkaakapitu"/>
    <w:uiPriority w:val="99"/>
    <w:unhideWhenUsed/>
    <w:rsid w:val="00A545D4"/>
    <w:rPr>
      <w:color w:val="0563C1" w:themeColor="hyperlink"/>
      <w:u w:val="single"/>
    </w:rPr>
  </w:style>
  <w:style w:type="paragraph" w:styleId="Zwykytekst">
    <w:name w:val="Plain Text"/>
    <w:basedOn w:val="Normalny"/>
    <w:link w:val="ZwykytekstZnak"/>
    <w:uiPriority w:val="99"/>
    <w:unhideWhenUsed/>
    <w:rsid w:val="00A545D4"/>
    <w:pPr>
      <w:widowControl/>
      <w:suppressAutoHyphens w:val="0"/>
    </w:pPr>
    <w:rPr>
      <w:rFonts w:ascii="Consolas" w:eastAsiaTheme="minorHAnsi" w:hAnsi="Consolas" w:cs="Consolas"/>
      <w:kern w:val="0"/>
      <w:sz w:val="21"/>
      <w:szCs w:val="21"/>
      <w:lang w:val="en-US" w:eastAsia="en-US"/>
    </w:rPr>
  </w:style>
  <w:style w:type="character" w:customStyle="1" w:styleId="ZwykytekstZnak">
    <w:name w:val="Zwykły tekst Znak"/>
    <w:basedOn w:val="Domylnaczcionkaakapitu"/>
    <w:link w:val="Zwykytekst"/>
    <w:uiPriority w:val="99"/>
    <w:rsid w:val="00A545D4"/>
    <w:rPr>
      <w:rFonts w:ascii="Consolas" w:hAnsi="Consolas" w:cs="Consola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57</Pages>
  <Words>7215</Words>
  <Characters>43291</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Katarzyna Brzdękiewicz</cp:lastModifiedBy>
  <cp:revision>48</cp:revision>
  <dcterms:created xsi:type="dcterms:W3CDTF">2019-06-11T07:08:00Z</dcterms:created>
  <dcterms:modified xsi:type="dcterms:W3CDTF">2019-06-12T11:10:00Z</dcterms:modified>
</cp:coreProperties>
</file>