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84" w:rsidRPr="00F72933" w:rsidRDefault="00795A84" w:rsidP="009237D1">
      <w:pPr>
        <w:spacing w:line="288" w:lineRule="auto"/>
        <w:jc w:val="center"/>
        <w:rPr>
          <w:rFonts w:ascii="Century Gothic" w:hAnsi="Century Gothic"/>
          <w:b/>
          <w:sz w:val="24"/>
          <w:szCs w:val="24"/>
        </w:rPr>
      </w:pPr>
      <w:r w:rsidRPr="00F72933">
        <w:rPr>
          <w:rFonts w:ascii="Century Gothic" w:hAnsi="Century Gothic"/>
          <w:b/>
          <w:sz w:val="24"/>
          <w:szCs w:val="24"/>
        </w:rPr>
        <w:t>Opis przedmiotu zamówienia</w:t>
      </w:r>
    </w:p>
    <w:p w:rsidR="00AB7475" w:rsidRPr="00F72933" w:rsidRDefault="0067095C" w:rsidP="004E2C20">
      <w:pPr>
        <w:spacing w:line="288" w:lineRule="auto"/>
        <w:jc w:val="center"/>
        <w:rPr>
          <w:rFonts w:ascii="Century Gothic" w:hAnsi="Century Gothic"/>
          <w:b/>
          <w:sz w:val="24"/>
          <w:szCs w:val="24"/>
        </w:rPr>
      </w:pPr>
      <w:r w:rsidRPr="00F72933">
        <w:rPr>
          <w:rFonts w:ascii="Century Gothic" w:hAnsi="Century Gothic"/>
          <w:b/>
          <w:sz w:val="24"/>
          <w:szCs w:val="24"/>
        </w:rPr>
        <w:t xml:space="preserve">symulator radioterapeutyczny CT </w:t>
      </w:r>
    </w:p>
    <w:p w:rsidR="008D204E" w:rsidRPr="00F72933" w:rsidRDefault="008D204E" w:rsidP="004E2C20">
      <w:pPr>
        <w:pStyle w:val="Skrconyadreszwrotny"/>
        <w:spacing w:line="288" w:lineRule="auto"/>
        <w:jc w:val="both"/>
        <w:rPr>
          <w:rFonts w:ascii="Century Gothic" w:hAnsi="Century Gothic"/>
          <w:sz w:val="20"/>
          <w:u w:val="single"/>
        </w:rPr>
      </w:pPr>
      <w:r w:rsidRPr="00F72933">
        <w:rPr>
          <w:rFonts w:ascii="Century Gothic" w:hAnsi="Century Gothic"/>
          <w:sz w:val="20"/>
          <w:u w:val="single"/>
        </w:rPr>
        <w:t>Uwagi i objaśnienia:</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 xml:space="preserve">Parametry o określonych warunkach liczbowych ( „&gt;=”  lub „=&lt;” ) są </w:t>
      </w:r>
      <w:r w:rsidR="001A32C6" w:rsidRPr="00F72933">
        <w:rPr>
          <w:rFonts w:ascii="Century Gothic" w:hAnsi="Century Gothic"/>
          <w:sz w:val="20"/>
        </w:rPr>
        <w:t xml:space="preserve">również </w:t>
      </w:r>
      <w:r w:rsidRPr="00F72933">
        <w:rPr>
          <w:rFonts w:ascii="Century Gothic" w:hAnsi="Century Gothic"/>
          <w:sz w:val="20"/>
        </w:rPr>
        <w:t xml:space="preserve">warunkami granicznymi, których niespełnienie spowoduje odrzucenie oferty. Wartość podana przy </w:t>
      </w:r>
      <w:r w:rsidR="001A32C6" w:rsidRPr="00F72933">
        <w:rPr>
          <w:rFonts w:ascii="Century Gothic" w:hAnsi="Century Gothic"/>
          <w:sz w:val="20"/>
        </w:rPr>
        <w:t>w/w znakach</w:t>
      </w:r>
      <w:r w:rsidRPr="00F72933">
        <w:rPr>
          <w:rFonts w:ascii="Century Gothic" w:hAnsi="Century Gothic"/>
          <w:sz w:val="20"/>
        </w:rPr>
        <w:t xml:space="preserve"> oznacza wartość wymaganą.</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Brak odpowiedzi w przypadku pozostałych warunków, punktowany będzie jako 0.</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zobowiązany jest do podania parametrów w jednostkach wskazanych w niniejszym opisie,</w:t>
      </w:r>
    </w:p>
    <w:p w:rsidR="001D1F84" w:rsidRPr="00D32A9F" w:rsidRDefault="008D204E" w:rsidP="001D1F84">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gwarantuje niniejszym, że sprzęt jest fabrycznie nowy (rok produkcji 201</w:t>
      </w:r>
      <w:r w:rsidR="001D1F84">
        <w:rPr>
          <w:rFonts w:ascii="Century Gothic" w:hAnsi="Century Gothic"/>
          <w:sz w:val="20"/>
        </w:rPr>
        <w:t>9</w:t>
      </w:r>
      <w:r w:rsidRPr="00F72933">
        <w:rPr>
          <w:rFonts w:ascii="Century Gothic" w:hAnsi="Century Gothic"/>
          <w:sz w:val="20"/>
        </w:rPr>
        <w:t xml:space="preserve">) nie jest rekondycjonowany, używany, powystawowy,  jest </w:t>
      </w:r>
      <w:r w:rsidRPr="00D32A9F">
        <w:rPr>
          <w:rFonts w:ascii="Century Gothic" w:hAnsi="Century Gothic"/>
          <w:sz w:val="20"/>
        </w:rPr>
        <w:t>kompletny i do jego uruchomienia oraz stosowania zgodnie z przeznaczeniem nie jest konieczny zakup dodatkowych elementów i akcesoriów.</w:t>
      </w:r>
    </w:p>
    <w:p w:rsidR="001D1F84" w:rsidRPr="00D32A9F" w:rsidRDefault="001D1F84" w:rsidP="001D1F84">
      <w:pPr>
        <w:pStyle w:val="Skrconyadreszwrotny"/>
        <w:widowControl/>
        <w:numPr>
          <w:ilvl w:val="0"/>
          <w:numId w:val="1"/>
        </w:numPr>
        <w:spacing w:line="288" w:lineRule="auto"/>
        <w:ind w:left="0"/>
        <w:jc w:val="both"/>
        <w:rPr>
          <w:rFonts w:ascii="Century Gothic" w:hAnsi="Century Gothic"/>
          <w:sz w:val="20"/>
        </w:rPr>
      </w:pPr>
      <w:r w:rsidRPr="00D32A9F">
        <w:rPr>
          <w:rFonts w:ascii="Century Gothic" w:hAnsi="Century Gothic"/>
          <w:kern w:val="3"/>
          <w:sz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1A32C6" w:rsidRPr="00F72933" w:rsidTr="001C5B70">
        <w:trPr>
          <w:trHeight w:val="652"/>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Nazwa i typ:</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8"/>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Producent:</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4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Kraj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Rok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6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Klasa wyrobu medycznego</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bl>
    <w:p w:rsidR="00795A84" w:rsidRPr="00F72933" w:rsidRDefault="00795A84" w:rsidP="00795A84">
      <w:pPr>
        <w:spacing w:line="288" w:lineRule="auto"/>
        <w:rPr>
          <w:rFonts w:ascii="Century Gothic" w:hAnsi="Century Gothic"/>
          <w:b/>
          <w:bCs/>
          <w:sz w:val="20"/>
          <w:szCs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795A84" w:rsidRPr="00F72933" w:rsidTr="001C5B70">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3176A2" w:rsidP="003176A2">
            <w:pPr>
              <w:spacing w:line="288" w:lineRule="auto"/>
              <w:rPr>
                <w:rFonts w:ascii="Century Gothic" w:hAnsi="Century Gothic"/>
                <w:b/>
                <w:sz w:val="20"/>
                <w:szCs w:val="20"/>
              </w:rPr>
            </w:pPr>
            <w:r w:rsidRPr="00F72933">
              <w:rPr>
                <w:rFonts w:ascii="Century Gothic" w:hAnsi="Century Gothic"/>
                <w:bCs/>
                <w:sz w:val="20"/>
                <w:szCs w:val="20"/>
              </w:rPr>
              <w:t xml:space="preserve">Przedmiot: </w:t>
            </w:r>
            <w:r w:rsidR="003F6A7A" w:rsidRPr="00F72933">
              <w:rPr>
                <w:rFonts w:ascii="Century Gothic" w:hAnsi="Century Gothic"/>
                <w:b/>
                <w:sz w:val="20"/>
                <w:szCs w:val="20"/>
              </w:rPr>
              <w:t>S</w:t>
            </w:r>
            <w:r w:rsidRPr="00F72933">
              <w:rPr>
                <w:rFonts w:ascii="Century Gothic" w:hAnsi="Century Gothic"/>
                <w:b/>
                <w:sz w:val="20"/>
                <w:szCs w:val="20"/>
              </w:rPr>
              <w:t xml:space="preserve">ymulator radioterapeutyczny CT </w:t>
            </w: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360" w:lineRule="auto"/>
              <w:rPr>
                <w:rFonts w:ascii="Century Gothic" w:hAnsi="Century Gothic"/>
                <w:b/>
                <w:bCs/>
                <w:sz w:val="20"/>
                <w:szCs w:val="20"/>
              </w:rPr>
            </w:pPr>
            <w:r w:rsidRPr="00F72933">
              <w:rPr>
                <w:rFonts w:ascii="Century Gothic" w:hAnsi="Century Gothic"/>
                <w:b/>
                <w:bCs/>
                <w:sz w:val="20"/>
                <w:szCs w:val="20"/>
              </w:rPr>
              <w:t>Cena brutto (w zł)</w:t>
            </w: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w:t>
            </w:r>
            <w:r w:rsidRPr="00F72933">
              <w:rPr>
                <w:rFonts w:ascii="Century Gothic" w:hAnsi="Century Gothic"/>
                <w:bCs/>
                <w:sz w:val="20"/>
                <w:szCs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B:</w:t>
            </w:r>
            <w:r w:rsidRPr="00F72933">
              <w:rPr>
                <w:rFonts w:ascii="Century Gothic" w:hAnsi="Century Gothic"/>
                <w:bCs/>
                <w:sz w:val="20"/>
                <w:szCs w:val="20"/>
              </w:rPr>
              <w:t xml:space="preserve"> Cena brutto adaptacji pomieszczeń </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C:</w:t>
            </w:r>
            <w:r w:rsidRPr="00F72933">
              <w:rPr>
                <w:rFonts w:ascii="Century Gothic" w:hAnsi="Century Gothic"/>
                <w:bCs/>
                <w:sz w:val="20"/>
                <w:szCs w:val="20"/>
              </w:rPr>
              <w:t xml:space="preserve"> Cena brutto instalacji i uruchomienia sprzętu</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D:</w:t>
            </w:r>
            <w:r w:rsidRPr="00F72933">
              <w:rPr>
                <w:rFonts w:ascii="Century Gothic" w:hAnsi="Century Gothic"/>
                <w:bCs/>
                <w:sz w:val="20"/>
                <w:szCs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A+B+C+D:</w:t>
            </w:r>
            <w:r w:rsidRPr="00F72933">
              <w:rPr>
                <w:rFonts w:ascii="Century Gothic" w:hAnsi="Century Gothic"/>
                <w:bCs/>
                <w:sz w:val="20"/>
                <w:szCs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bl>
    <w:p w:rsidR="008D204E" w:rsidRPr="00F72933" w:rsidRDefault="008D204E"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8D204E" w:rsidRPr="00F72933" w:rsidRDefault="008D204E" w:rsidP="004E2C20">
      <w:pPr>
        <w:spacing w:line="288" w:lineRule="auto"/>
        <w:rPr>
          <w:rFonts w:ascii="Century Gothic" w:eastAsia="Times New Roman" w:hAnsi="Century Gothic" w:cs="Arial"/>
          <w:b/>
          <w:bCs/>
          <w:sz w:val="16"/>
          <w:szCs w:val="16"/>
          <w:lang w:eastAsia="pl-PL"/>
        </w:rPr>
      </w:pPr>
    </w:p>
    <w:p w:rsidR="00D54DF6" w:rsidRPr="00F72933" w:rsidRDefault="00D54DF6" w:rsidP="004E2C20">
      <w:pPr>
        <w:spacing w:line="288" w:lineRule="auto"/>
        <w:rPr>
          <w:rFonts w:ascii="Century Gothic" w:eastAsia="Times New Roman" w:hAnsi="Century Gothic" w:cs="Arial"/>
          <w:b/>
          <w:bCs/>
          <w:sz w:val="16"/>
          <w:szCs w:val="16"/>
          <w:lang w:eastAsia="pl-PL"/>
        </w:rPr>
      </w:pPr>
    </w:p>
    <w:p w:rsidR="00AB7475" w:rsidRPr="00F72933" w:rsidRDefault="008D204E" w:rsidP="004E2C20">
      <w:pPr>
        <w:spacing w:line="288" w:lineRule="auto"/>
        <w:rPr>
          <w:rFonts w:ascii="Century Gothic" w:hAnsi="Century Gothic"/>
          <w:b/>
          <w:sz w:val="20"/>
          <w:szCs w:val="20"/>
        </w:rPr>
      </w:pPr>
      <w:r w:rsidRPr="00F72933">
        <w:rPr>
          <w:rFonts w:ascii="Century Gothic" w:eastAsia="Times New Roman" w:hAnsi="Century Gothic" w:cs="Arial"/>
          <w:b/>
          <w:bCs/>
          <w:sz w:val="20"/>
          <w:szCs w:val="20"/>
          <w:lang w:eastAsia="pl-PL"/>
        </w:rPr>
        <w:lastRenderedPageBreak/>
        <w:t>PARAMETRY TECHNICZNE I EKSPLOATACYJNE</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Ocena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Parametry ogólne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D33189">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Tomograf nowy wyprodukowany w 201</w:t>
            </w:r>
            <w:r w:rsidR="00D33189">
              <w:rPr>
                <w:rFonts w:ascii="Century Gothic" w:eastAsia="Times New Roman" w:hAnsi="Century Gothic" w:cs="Arial"/>
                <w:sz w:val="20"/>
                <w:szCs w:val="20"/>
                <w:lang w:eastAsia="pl-PL"/>
              </w:rPr>
              <w:t>9</w:t>
            </w:r>
            <w:r w:rsidRPr="00F72933">
              <w:rPr>
                <w:rFonts w:ascii="Century Gothic" w:eastAsia="Times New Roman" w:hAnsi="Century Gothic" w:cs="Arial"/>
                <w:sz w:val="20"/>
                <w:szCs w:val="20"/>
                <w:lang w:eastAsia="pl-PL"/>
              </w:rPr>
              <w:t xml:space="preserve"> roku, nieużywany, nie rekondycjonowany,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xml:space="preserve">- -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Tomograf komputerowy </w:t>
            </w:r>
            <w:r w:rsidRPr="00F72933">
              <w:rPr>
                <w:rFonts w:ascii="Century Gothic" w:eastAsia="Times New Roman" w:hAnsi="Century Gothic" w:cs="Arial"/>
                <w:sz w:val="20"/>
                <w:szCs w:val="20"/>
                <w:u w:val="single"/>
                <w:lang w:eastAsia="pl-PL"/>
              </w:rPr>
              <w:t xml:space="preserve">na szynach jezdnych </w:t>
            </w:r>
            <w:r w:rsidRPr="00F72933">
              <w:rPr>
                <w:rFonts w:ascii="Century Gothic" w:eastAsia="Times New Roman" w:hAnsi="Century Gothic" w:cs="Arial"/>
                <w:sz w:val="20"/>
                <w:szCs w:val="20"/>
                <w:lang w:eastAsia="pl-PL"/>
              </w:rPr>
              <w:t xml:space="preserve">do obsługi sali operacyjnej, umożliwiający akwizycję min. 20 warstw submilimetrowych badanego obszaru w czasie jednego pełnego obrotu układu lampa-detektor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 Podać ilość warstw</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Tomograf umożliwiajacy:</w:t>
            </w:r>
          </w:p>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badania klatki piersiowej, kręgosłupa, jamy brzusznej i miednicy wraz z wielofazowymi badaniami narządów tych obszarów anatomicznych,</w:t>
            </w:r>
            <w:r w:rsidRPr="00F72933">
              <w:rPr>
                <w:rFonts w:ascii="Century Gothic" w:eastAsia="Times New Roman" w:hAnsi="Century Gothic" w:cs="Arial"/>
                <w:sz w:val="20"/>
                <w:szCs w:val="20"/>
                <w:lang w:eastAsia="pl-PL"/>
              </w:rPr>
              <w:br/>
              <w:t>- badania naczyń domózgowych, wewnątrzczaszkowych, dużych naczyń oraz naczyń obwodowych,</w:t>
            </w:r>
            <w:r w:rsidRPr="00F72933">
              <w:rPr>
                <w:rFonts w:ascii="Century Gothic" w:eastAsia="Times New Roman" w:hAnsi="Century Gothic" w:cs="Arial"/>
                <w:sz w:val="20"/>
                <w:szCs w:val="20"/>
                <w:lang w:eastAsia="pl-PL"/>
              </w:rPr>
              <w:br/>
              <w:t xml:space="preserve">- akwizycję submilimetrową niewielkich </w:t>
            </w:r>
            <w:r w:rsidRPr="00F72933">
              <w:rPr>
                <w:rFonts w:ascii="Century Gothic" w:eastAsia="Times New Roman" w:hAnsi="Century Gothic" w:cs="Arial"/>
                <w:sz w:val="20"/>
                <w:szCs w:val="20"/>
                <w:lang w:eastAsia="pl-PL"/>
              </w:rPr>
              <w:lastRenderedPageBreak/>
              <w:t>struktur anatomicznych,</w:t>
            </w:r>
            <w:r w:rsidRPr="00F72933">
              <w:rPr>
                <w:rFonts w:ascii="Century Gothic" w:eastAsia="Times New Roman" w:hAnsi="Century Gothic" w:cs="Arial"/>
                <w:sz w:val="20"/>
                <w:szCs w:val="20"/>
                <w:lang w:eastAsia="pl-PL"/>
              </w:rPr>
              <w:br/>
              <w:t>- badania wielonarządowe.</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GANTRY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Średnica otworu gantry  [cm]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&gt;=80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Precyzja pozycjonowania gantry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±1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wartość wymagana – 0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Zakres przesuwu gantry na szynach jezdnych z pozycji parkowania [m]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3</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Maksymalna dopuszczalna szerokość blatu stołu operacyjnego umieszczonego na wysokości 140 mm poniżej izocentrum i pochyleniu gantry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16"/>
                <w:szCs w:val="16"/>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Przyciski sterujące na gantry po obu jej stronach (z prawej i lewej strony) oraz sterowanie z konsoli operatora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Podwieszany (lub prowadzony w inny sposób) system okablowania gantry, </w:t>
            </w:r>
            <w:r w:rsidRPr="00F72933">
              <w:rPr>
                <w:rFonts w:ascii="Century Gothic" w:eastAsia="Times New Roman" w:hAnsi="Century Gothic" w:cs="Arial"/>
                <w:sz w:val="20"/>
                <w:szCs w:val="20"/>
                <w:lang w:eastAsia="pl-PL"/>
              </w:rPr>
              <w:lastRenderedPageBreak/>
              <w:t>zapewniający swobodny dostęp do pacjenta w trakcie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System okablowania i szyn jezdnych tomografu zapewniający możliwość utrzymania norm sanitarnych sali operacyjnej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GENERATOR I LAMPA RTG</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Maksymalna moc generatora [kW]</w:t>
            </w:r>
          </w:p>
          <w:p w:rsidR="0010181F" w:rsidRPr="00F72933" w:rsidRDefault="0010181F" w:rsidP="004E2C20">
            <w:pPr>
              <w:spacing w:line="288" w:lineRule="auto"/>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podana w ofercie moc ma być mocą użytkową – wynikającą z protokołów badań</w:t>
            </w:r>
            <w:r w:rsidRPr="00F72933">
              <w:rPr>
                <w:rFonts w:ascii="Century Gothic" w:eastAsia="Times New Roman" w:hAnsi="Century Gothic" w:cs="Times New Roman"/>
                <w:sz w:val="16"/>
                <w:szCs w:val="16"/>
                <w:lang w:eastAsia="pl-PL"/>
              </w:rPr>
              <w:br/>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bCs/>
                <w:sz w:val="20"/>
                <w:szCs w:val="20"/>
                <w:lang w:eastAsia="pl-PL"/>
              </w:rPr>
              <w:t>&gt;=70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Minimalne napięcie anody, możliwe do zastosowania w protokołach badań [kV]</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80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Modulacja prądu anody w czasie rzeczywistym, jednocześnie w osiach x,y,z.</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Rzeczywista pojemność cieplna anody min. 7 [MHU] lub jej ekwiwalent min. 50 [MHU] w przypadku technologii chłodzenia innej niż klasyczna [MHU]</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Szybkość chłodzenia anody lampy rtg [kHU/min]</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1300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Liczba ognisk lampy rtg</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2 ogniska – 1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3 ogniska - 3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Automatyczny wybór ognisk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DETEKTORY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Submilimetrowa wartość kolimacji warstwy akwizycyjnej, w odniesieniu do izocentrum, dla trybu wielowarstwowej akwizycji spiralnej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≤0,625</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88364D" w:rsidRPr="00F72933" w:rsidRDefault="0088364D" w:rsidP="0088364D">
            <w:pPr>
              <w:snapToGrid w:val="0"/>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najmniejsza wartość – 1 pkt, </w:t>
            </w:r>
          </w:p>
          <w:p w:rsidR="00971948" w:rsidRPr="00F72933" w:rsidRDefault="0088364D" w:rsidP="0088364D">
            <w:pPr>
              <w:snapToGrid w:val="0"/>
              <w:spacing w:line="288" w:lineRule="auto"/>
              <w:rPr>
                <w:rFonts w:ascii="Century Gothic" w:hAnsi="Century Gothic" w:cs="Arial Narrow"/>
                <w:sz w:val="16"/>
                <w:szCs w:val="16"/>
              </w:rPr>
            </w:pPr>
            <w:r w:rsidRPr="00F72933">
              <w:rPr>
                <w:rFonts w:ascii="Century Gothic" w:eastAsia="Times New Roman" w:hAnsi="Century Gothic" w:cs="Times New Roman"/>
                <w:sz w:val="16"/>
                <w:szCs w:val="16"/>
                <w:lang w:eastAsia="pl-PL"/>
              </w:rPr>
              <w:t>inne – 0 pkt.</w:t>
            </w:r>
            <w:r w:rsidRPr="00F72933">
              <w:rPr>
                <w:rFonts w:ascii="Century Gothic" w:eastAsia="Times New Roman" w:hAnsi="Century Gothic" w:cs="Times New Roman"/>
                <w:sz w:val="16"/>
                <w:szCs w:val="16"/>
                <w:lang w:eastAsia="pl-PL"/>
              </w:rPr>
              <w:br/>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Wartość kolimacji warstwy akwizycyjnej, w odniesieniu do izocentrum dla akwizycji wielowarstwowej, mniejsza od 0,5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tak – 1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nie – 0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SYSTEM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Najkrótszy czas [s] pełnego obrotu (360º ) układu lampa rtg – detektor</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0,5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wartość wymagana – 0 pkt.</w:t>
            </w:r>
          </w:p>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Możliwość wykonywania badań w technice </w:t>
            </w:r>
            <w:r w:rsidRPr="00F72933">
              <w:rPr>
                <w:rFonts w:ascii="Century Gothic" w:eastAsia="Times New Roman" w:hAnsi="Century Gothic" w:cs="Arial"/>
                <w:sz w:val="20"/>
                <w:szCs w:val="20"/>
                <w:lang w:eastAsia="pl-PL"/>
              </w:rPr>
              <w:lastRenderedPageBreak/>
              <w:t>sekwencyjnej i spiralnej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Maksymalne, rekonstruowane pole obrazowania FOV [cm]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80 [cm] i więcej – 3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mniejsze wartości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rekonstrukcyjna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512x512</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prezentacyjna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1024x1024</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Rozdzielczość wysokokontrastowa w płaszczyźnie x,y, mierzona w polu akwizycyjnym FOV=50 cm w punkcie 2% charakterystyki MTF [pl/cm]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&gt;= 15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5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Rozdzielczość przestrzenna izotropowa x=y=z dla trybu skanowania submilimetrowego w polu widzenia FOV 50 cm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0,6</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najmniejsza wartość – 5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Szybkość rekonstrukcji obrazów w matrycy 512 x 512 [obrazy/s].</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highlight w:val="yellow"/>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Niskodawkowy algorytm rekonstrukcji bazujący na modelu z wielokrotnym przetwarzaniem iteracyjnym tych samych danych surowych (obszar danych RAW)  umożliwiający redukcję dawki o co najmniej </w:t>
            </w:r>
            <w:r w:rsidRPr="00F72933">
              <w:rPr>
                <w:rFonts w:ascii="Century Gothic" w:eastAsia="Times New Roman" w:hAnsi="Century Gothic" w:cs="Arial"/>
                <w:sz w:val="20"/>
                <w:szCs w:val="20"/>
                <w:lang w:eastAsia="pl-PL"/>
              </w:rPr>
              <w:lastRenderedPageBreak/>
              <w:t>60% w relacji do standardowej metody rekonstrukcji wstecznej FBP</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redukcji artefaktów pochodzących od elementów metalowych (endoprotezy, implanty) w badanej anatomii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KONSOLA OPERATORSKA</w:t>
            </w:r>
          </w:p>
        </w:tc>
        <w:tc>
          <w:tcPr>
            <w:tcW w:w="1984"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Stanowisko operatorskie - konsola akwizycyjna dwumonitorowa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Przekątna kolorowego monitora z aktywną matrycą ciekłokrystaliczną typu Flat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19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Pojemność dysku twardego dla obrazów bez kompresji (512x512), wyrażona liczbą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250 000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Archiwizacja badań pacjentów na CD-R i DVD w standardzie DICOM 3.0</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Dwukierunkowy interkom do komunikacji głosowej z pacjentem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Interfejs sieciowy zgodnie z DICOM 3.0 z </w:t>
            </w:r>
            <w:r w:rsidRPr="00F72933">
              <w:rPr>
                <w:rFonts w:ascii="Century Gothic" w:eastAsia="Times New Roman" w:hAnsi="Century Gothic" w:cs="Arial"/>
                <w:sz w:val="20"/>
                <w:szCs w:val="20"/>
                <w:lang w:eastAsia="pl-PL"/>
              </w:rPr>
              <w:lastRenderedPageBreak/>
              <w:t>następującymi klasami serwisowymi:- Send/Receive</w:t>
            </w:r>
            <w:r w:rsidRPr="00F72933">
              <w:rPr>
                <w:rFonts w:ascii="Century Gothic" w:eastAsia="Times New Roman" w:hAnsi="Century Gothic" w:cs="Arial"/>
                <w:sz w:val="20"/>
                <w:szCs w:val="20"/>
                <w:lang w:eastAsia="pl-PL"/>
              </w:rPr>
              <w:br/>
              <w:t>- Basic Print</w:t>
            </w:r>
            <w:r w:rsidRPr="00F72933">
              <w:rPr>
                <w:rFonts w:ascii="Century Gothic" w:eastAsia="Times New Roman" w:hAnsi="Century Gothic" w:cs="Arial"/>
                <w:sz w:val="20"/>
                <w:szCs w:val="20"/>
                <w:lang w:eastAsia="pl-PL"/>
              </w:rPr>
              <w:br/>
              <w:t>- Query/ Retrieve</w:t>
            </w:r>
            <w:r w:rsidRPr="00F72933">
              <w:rPr>
                <w:rFonts w:ascii="Century Gothic" w:eastAsia="Times New Roman" w:hAnsi="Century Gothic" w:cs="Arial"/>
                <w:sz w:val="20"/>
                <w:szCs w:val="20"/>
                <w:lang w:eastAsia="pl-PL"/>
              </w:rPr>
              <w:br/>
              <w:t>- Storage Commitment</w:t>
            </w:r>
            <w:r w:rsidRPr="00F72933">
              <w:rPr>
                <w:rFonts w:ascii="Century Gothic" w:eastAsia="Times New Roman" w:hAnsi="Century Gothic" w:cs="Arial"/>
                <w:sz w:val="20"/>
                <w:szCs w:val="20"/>
                <w:lang w:eastAsia="pl-PL"/>
              </w:rPr>
              <w:br/>
              <w:t>- Worklist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OPROGRAMOWANIE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MIP (Maximum IntensityProjection)</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SSD (Surface Shaded Display)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VRT (Volume Rendering Techique)</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Rekonstrukcje MPR (również skośne i krzywoliniowe z danych zbieranych przy dowolnym kącie gantry)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Bezpośrednia rekonstrukcja warstw MPR bez konieczności wstępnej rekonstrukcji cienkich warstw aksjalnych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Prezentacje cine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Bezpośrednie rekonstrukcje objętościowe </w:t>
            </w:r>
            <w:r w:rsidRPr="00F72933">
              <w:rPr>
                <w:rFonts w:ascii="Century Gothic" w:eastAsia="Times New Roman" w:hAnsi="Century Gothic" w:cs="Arial"/>
                <w:sz w:val="20"/>
                <w:szCs w:val="20"/>
                <w:lang w:eastAsia="pl-PL"/>
              </w:rPr>
              <w:lastRenderedPageBreak/>
              <w:t>bez konieczności wykonywania najpierw rekonstrukcji cienkowarstwowych aksjalnych.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 kątów / powierzchni / objętości)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analityczne (pomiar poziomu gęstości, profile gęstości, analiza skanu dynamicznego).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Obliczanie całkowitej dawki ekspozycyjnej (DLP lub CTDIvol), jaką uzyskał pacjent w trakcie badania i jej prezentacja na ekranie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Wielozadaniowość / wielodostęp, w tym możliwość automatycznej rekonstrukcji, archiwizacji i dokumentacji w tle (w trakcie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Kompletny zestaw protokołów do badania wszystkich obszarów anatomicznych , z możliwością ich projektowania i zapamiętywania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synchronizacji startu badania spiralnego na podstawie automatycznej analizy napływu środka cieniującego w zadanej warstwie bez wykonywania wstrzyknięć testowych.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Automatyczny dobór napięcia anodowego w protokołach badań w zależności od badanej anatomii i rodzaju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ustawianie zakresu badania, dla danego pacjenta, na podstawie znaczników anatomicznych i protokołu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743FEF" w:rsidP="00090ADF">
            <w:pPr>
              <w:spacing w:line="288" w:lineRule="auto"/>
              <w:rPr>
                <w:rFonts w:ascii="Century Gothic" w:hAnsi="Century Gothic"/>
                <w:sz w:val="16"/>
                <w:szCs w:val="16"/>
              </w:rPr>
            </w:pPr>
            <w:r w:rsidRPr="00F72933">
              <w:rPr>
                <w:rFonts w:ascii="Century Gothic" w:hAnsi="Century Gothic"/>
                <w:sz w:val="16"/>
                <w:szCs w:val="16"/>
              </w:rPr>
              <w:t xml:space="preserve">tak – </w:t>
            </w:r>
            <w:r w:rsidR="00090ADF" w:rsidRPr="00F72933">
              <w:rPr>
                <w:rFonts w:ascii="Century Gothic" w:hAnsi="Century Gothic"/>
                <w:sz w:val="16"/>
                <w:szCs w:val="16"/>
              </w:rPr>
              <w:t>1</w:t>
            </w:r>
            <w:r w:rsidRPr="00F72933">
              <w:rPr>
                <w:rFonts w:ascii="Century Gothic" w:hAnsi="Century Gothic"/>
                <w:sz w:val="16"/>
                <w:szCs w:val="16"/>
              </w:rPr>
              <w:t xml:space="preserve">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oznaczanie kręgów i wyznaczanie kątów nachylenia płaszczyzn rekonstrukcji kręgów w badaniach kręgosłupa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alarmowanie obsługi o możliwości przekroczenia dawki referencyjnej w danym badaniu (przed wykonaniem badania), oraz ewidencjonowanie tego faktu w przypadku kontynuowania badania bez </w:t>
            </w:r>
            <w:r w:rsidRPr="00F72933">
              <w:rPr>
                <w:rFonts w:ascii="Century Gothic" w:eastAsia="Times New Roman" w:hAnsi="Century Gothic" w:cs="Arial"/>
                <w:sz w:val="20"/>
                <w:szCs w:val="20"/>
                <w:lang w:eastAsia="pl-PL"/>
              </w:rPr>
              <w:lastRenderedPageBreak/>
              <w:t>wprowadzania zmian</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Integracja wstrzykiwacza środka cieniującego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Sterowanie dostarczonym wstrzykiwaczem bezpośrednio z konsoli tomografu komputerowego. Możliwość programowania i zapamiętywania parametrów środka kontrastowego bezpośrednio w protokole badania na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090ADF" w:rsidP="00090AD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STANOWISKO LEKARSKIE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Konsola lekarska, dwumonitorowa. Przekątna kolorowego monitora z aktywną matrycą ciekłokrystaliczną typu Flat min.24” lub konsola lekarka jednomonitorowa, ale o przekątnej min. 29’’</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Interfejs sieciowy w formacie DICOM 3.0 z następującymi funkcjami:- DICOM Print</w:t>
            </w:r>
            <w:r w:rsidRPr="00F72933">
              <w:rPr>
                <w:rFonts w:ascii="Century Gothic" w:eastAsia="Times New Roman" w:hAnsi="Century Gothic" w:cs="Arial"/>
                <w:sz w:val="20"/>
                <w:szCs w:val="20"/>
                <w:lang w:eastAsia="pl-PL"/>
              </w:rPr>
              <w:br/>
              <w:t>- DICOM Storage Commitment</w:t>
            </w:r>
            <w:r w:rsidRPr="00F72933">
              <w:rPr>
                <w:rFonts w:ascii="Century Gothic" w:eastAsia="Times New Roman" w:hAnsi="Century Gothic" w:cs="Arial"/>
                <w:sz w:val="20"/>
                <w:szCs w:val="20"/>
                <w:lang w:eastAsia="pl-PL"/>
              </w:rPr>
              <w:br/>
              <w:t>- DICOM Sent / Receive</w:t>
            </w:r>
            <w:r w:rsidRPr="00F72933">
              <w:rPr>
                <w:rFonts w:ascii="Century Gothic" w:eastAsia="Times New Roman" w:hAnsi="Century Gothic" w:cs="Arial"/>
                <w:sz w:val="20"/>
                <w:szCs w:val="20"/>
                <w:lang w:eastAsia="pl-PL"/>
              </w:rPr>
              <w:br/>
              <w:t>- DICOM Query/Retrieve SCU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Jednoczesna prezentacja i odczyt, z synchronizacją przestrzenną, danych obrazowych CT, MR, PET-CT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jednoczesnej edycji badań min.4 różnych pacjentów. Przełączanie pomiędzy badaniami różnych pacjentów nie wymagające zamykania załadowanych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kątów, powierzchni)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Automatyczna synchronizacja wyświetlanych serii badania niezależna od grubości warstw.  Możliwość synchronicznego wyświetlania min. 4 serii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predefiniowanych układów wyświetlania (layoutów), skojarzony z zastosowaną aplikacją, np. onkologiczna/naczyniowa. Możliwość indywidualnego dopasowania układów wyświetlania przez każdego użytkownika, z możliwością zapamiętania.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Rekonstrukcje MIP, VRT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Predefiniowana paleta ustawień dla rekonstrukcji VRT uwzględniająca typy badań, obszary anatomiczne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Rekonstrukcje 3D typu MPR (Multi PlanarReconstruction), w tym wzdłuż dowolnej prostej (równoległe lub promieniste) lub krzywej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(odległości, kąty)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Elementy manipulacji obrazem (m. in.  przedstawienie w negatywie, obrót obrazu i odbicia lustrzane, powiększenie obrazu, dodawanie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Fuzja badań z różnych modalności jak: CT/MR, CT/SPECT, CT/PET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przetwarzanie otrzymanych danych w oparciu o kontekst kliniczny badania z możliwością automatycznego przypisywania procedur obrazowych do obrazów na podstawie informacji zawartych w nagłówkach DICOM. Automatyczne </w:t>
            </w:r>
            <w:r w:rsidRPr="00F72933">
              <w:rPr>
                <w:rFonts w:ascii="Century Gothic" w:eastAsia="Times New Roman" w:hAnsi="Century Gothic" w:cs="Arial"/>
                <w:sz w:val="20"/>
                <w:szCs w:val="20"/>
                <w:lang w:eastAsia="pl-PL"/>
              </w:rPr>
              <w:lastRenderedPageBreak/>
              <w:t>załadowanie obrazów w predefiniowane segmenty.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usuwanie struktur kostnych z pozostawieniem wyłącznie zakontrastowanego drzewa naczyniowego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usuwania obrazu stołu z obrazów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Automatyczne/ręczne numerowanie kręgów kręgosłupa w badaniach odcinkowych jak i całego kręgosłupa w badaniach CT i MR</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numerowanie żeber w badaniach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automatycznej segmentacji i prezentacji w 3D zmian w narządach miąższowych, w tym w płucach, wątrobie oraz węzłach chłonnych wraz z automatycznym pomiarem zmiany zgodnie z RECIST 1.1, WHO i jej objętości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wykonywania badań porównawczych TK zmian ogniskowych narządów miąższowych z synchronizacją przestrzenną badania aktualnego z poprzednim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automatycznego pomiaru, w badaniach porównawczych TK zmian ogniskowych narządów miąższowych, różnicy parametrów: RECIST 1.1, WHO, objętości danej zmiany ogniskowej z badania aktualnego i poprzedniego (w jednostkach miary i procentowo)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wirtualnej kolonografii, umożliwiające automatyczną segmentację jelita grubego, jednoczesną prezentację wnętrza jelita i projekcję przekrojów w trzech głównych płaszczyznach. Jednoczesna </w:t>
            </w:r>
            <w:r w:rsidRPr="00F72933">
              <w:rPr>
                <w:rFonts w:ascii="Century Gothic" w:eastAsia="Times New Roman" w:hAnsi="Century Gothic" w:cs="Arial"/>
                <w:sz w:val="20"/>
                <w:szCs w:val="20"/>
                <w:lang w:eastAsia="pl-PL"/>
              </w:rPr>
              <w:lastRenderedPageBreak/>
              <w:t>prezentacji badania kolonografii w dwóch pozycjach (na brzuchu i na plecach) z synchronizacją przestrzenną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oceny obwodowej struktury naczyniowej z rozwinięciem wzdłuż linii centralnej naczynia, pomiarem średnicy, pola przekroju w płaszczyźnie prostopadłej, światła naczynia i automatycznego wyznaczania stenozy oraz możliwością oceny blaszki miażdżycowej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POZOSTAŁE WYMAGANIA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firmowych fantomów serwisowych do kalibracji i testów podstawowych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Automatyczny dwugłowicowy wstrzykiwacz z możliwością równoczesnego, symultanicznego podawania środka kontrastowego i roztworu soli fizjologicznej z obu wkładów jednocześnie, z opcją zaprogramowania procentowej wartości tak wstrzykiwanego roztworu przez operatora, zintegrowany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wstrzykiwacz kontrastu w pełni bezprzewodowy (zasilanie akumulatorowe oraz bezprzewodowa łączność strzykawki z ekranem zdalnym w sterowni) – 1 pkt.,</w:t>
            </w:r>
          </w:p>
          <w:p w:rsidR="00743FEF" w:rsidRPr="00F72933" w:rsidRDefault="00743FEF" w:rsidP="00743FEF">
            <w:pPr>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 inne rozwiązania – 0 pkt.</w:t>
            </w:r>
          </w:p>
          <w:p w:rsidR="00743FEF" w:rsidRPr="00F72933" w:rsidRDefault="00743FEF" w:rsidP="00743FEF">
            <w:pPr>
              <w:spacing w:line="288" w:lineRule="auto"/>
              <w:rPr>
                <w:rFonts w:ascii="Century Gothic" w:eastAsia="Times New Roman" w:hAnsi="Century Gothic" w:cs="Times New Roman"/>
                <w:sz w:val="16"/>
                <w:szCs w:val="16"/>
                <w:lang w:eastAsia="pl-PL"/>
              </w:rPr>
            </w:pP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wstrzykiwacz kontrastu pracujący </w:t>
            </w:r>
            <w:r w:rsidRPr="00F72933">
              <w:rPr>
                <w:rFonts w:ascii="Century Gothic" w:eastAsia="Times New Roman" w:hAnsi="Century Gothic" w:cs="Times New Roman"/>
                <w:sz w:val="16"/>
                <w:szCs w:val="16"/>
                <w:lang w:eastAsia="pl-PL"/>
              </w:rPr>
              <w:lastRenderedPageBreak/>
              <w:t>na materiałach zużywalnych pozbawionych ftalanów dwu-2-etyloheksylowego (DEHP), ftalanówdioktylu (DOP), lateksu oraz pirogenów,</w:t>
            </w: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inne rozwiązania – 0 pkt.</w:t>
            </w:r>
          </w:p>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UPS  z minimum 3 minutowym podtrzymaniem napięcia, dla każdej konsoli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SPRZĘT KOMPUTEROWY / PRACA W SIECIACH INFORMATYCZNYCH – wymagania ogólne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Oferowane urządzenia posiadają  możliwość współpracy ze szpitalnymi sieciami informatycznymi - aparat oraz stacje postprocessingowe przygotowane do integracji z systemem RIS/PACS bez ponoszenia przez Zamawiającego dodatkowych kosztów względem wykonawcy niniejszego postępowania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Aktualizacja oprogramowania zainstalowanego w dostarczonych urządzeniach komputerowych w okresie </w:t>
            </w:r>
            <w:r w:rsidRPr="00F72933">
              <w:rPr>
                <w:rFonts w:ascii="Century Gothic" w:eastAsia="Times New Roman" w:hAnsi="Century Gothic" w:cs="Arial"/>
                <w:sz w:val="20"/>
                <w:szCs w:val="20"/>
                <w:lang w:eastAsia="pl-PL"/>
              </w:rPr>
              <w:lastRenderedPageBreak/>
              <w:t>trwania gwarancji.</w:t>
            </w:r>
          </w:p>
          <w:p w:rsidR="00090ADF" w:rsidRPr="00F72933" w:rsidRDefault="00090ADF" w:rsidP="00090ADF">
            <w:pPr>
              <w:spacing w:before="100" w:beforeAutospacing="1" w:after="100" w:afterAutospacing="1" w:line="240" w:lineRule="auto"/>
              <w:rPr>
                <w:rFonts w:ascii="Century Gothic" w:eastAsia="Times New Roman" w:hAnsi="Century Gothic" w:cs="Arial"/>
                <w:i/>
                <w:sz w:val="20"/>
                <w:szCs w:val="20"/>
                <w:lang w:eastAsia="pl-PL"/>
              </w:rPr>
            </w:pPr>
            <w:r w:rsidRPr="00F72933">
              <w:rPr>
                <w:rFonts w:ascii="Century Gothic" w:eastAsia="Times New Roman" w:hAnsi="Century Gothic" w:cs="Arial"/>
                <w:i/>
                <w:sz w:val="16"/>
                <w:szCs w:val="16"/>
                <w:lang w:eastAsia="pl-PL"/>
              </w:rPr>
              <w:t xml:space="preserve">Uwaga - </w:t>
            </w:r>
            <w:r w:rsidRPr="00F72933">
              <w:rPr>
                <w:rFonts w:ascii="Century Gothic" w:eastAsia="Times New Roman" w:hAnsi="Century Gothic" w:cs="Times New Roman"/>
                <w:i/>
                <w:sz w:val="16"/>
                <w:szCs w:val="16"/>
                <w:lang w:eastAsia="pl-PL"/>
              </w:rPr>
              <w:t xml:space="preserve">wymaganie dotyczy oprogramowania, którego instalację w urządzeniu Zamawiającego zleca producent zachowując dotychczasową konfigurację i funkcjonalność urządzenia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 wszystkich dostarczonych urządzeń informatycznych (komputery, stacje robocze, itp.) oraz oprogramowania zostaną dołączone hasła administracyjne (o ile występują)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Integracja aparatu z systemem informatycznym RIS Zamawiającego (Softmed Orion) w zakresie obsługi list roboczych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Archiwizacja danych obrazowych w systemie PACS Zamawiającego wraz z uwzględnieniem mechanizmu Storage Commitment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Czytelna wizualizacja stanu archiwizacji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Konfiguracja systemów RIS (Softmed Orion) oraz PACS (AgfaImpax) może być wykonana wyłącznie przez autoryzowany </w:t>
            </w:r>
            <w:r w:rsidRPr="00F72933">
              <w:rPr>
                <w:rFonts w:ascii="Century Gothic" w:eastAsia="Times New Roman" w:hAnsi="Century Gothic" w:cs="Arial"/>
                <w:sz w:val="20"/>
                <w:szCs w:val="20"/>
                <w:lang w:eastAsia="pl-PL"/>
              </w:rPr>
              <w:lastRenderedPageBreak/>
              <w:t>serwis tych systemów. Wszelkie koszty związane z integracją pokrywa Dostawca.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Nieograniczone czasowo licencje na funkcjonalności DICOM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Podstawowa konfiguracja parametrów DICOM, w szczególności dodanie lub modyfikacja węzłów DICOM możliwa do przeprowadzenia przez przeszkolonych pracowników Zamawiającego.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przypadku, gdy do uruchomienia dostarczanej aparatury medycznej Wykonawca potrzebuje wykonać dodatkowe elementy sieci komputerowej powinny spełnić następujące wymagania: Dla wykonania okablowania opartego o skrętkę miedzianą (UTP, FTP, STP) należy wykorzystać komponenty co najmniej kategorii 6a z zapewnieniem torów transmisyjnych klasy Ea• Dla okablowania światłowodowego należy wykorzystać włókna wielomodowe klasy co najmniej OM3, a dla okablowania jednodomowego włókna klasy co najmniej OS2• </w:t>
            </w:r>
            <w:r w:rsidRPr="00F72933">
              <w:rPr>
                <w:rFonts w:ascii="Century Gothic" w:eastAsia="Times New Roman" w:hAnsi="Century Gothic" w:cs="Arial"/>
                <w:sz w:val="20"/>
                <w:szCs w:val="20"/>
                <w:lang w:eastAsia="pl-PL"/>
              </w:rPr>
              <w:lastRenderedPageBreak/>
              <w:t>Okablowanie powinno być ukryte przed łatwym dostępem (montaż podtynkowy, koryto PVC lub pod podłogą techniczną).• Okablowanie powinno być zakończone w gniazdach lub na panelach krosowych • Gniazda i panele krosowe powinny być czytelnie oznakowane w sposób unikalny w skali całego budynku • Jakość wykonanych komponentów zostanie potwierdzona pomiarami a wyniki pomiarów zgodności z klasą Ea i zostaną dostarczone do dokumentacji powykonawczej. Zastrzegamy możliwość uczestniczenia pracownika Zamawiającego w procesie pomiarowym.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Sprzęt aktywny użyty do wykonania dedykowanej sieci komputerowej (przełączniki, routery, zapory) powinien spełniać następujące wymogi:·         interfejsy o prędkości co najmniej 1Gbit/s ·         zarządzalny ·         umożliwiać odczyt liczników błędów komunikacji dla poszczególnych interfejsów ·         umożliwia odczyt przypisania adresów MAC do poszczególnych portów ·         możliwość </w:t>
            </w:r>
            <w:r w:rsidRPr="00F72933">
              <w:rPr>
                <w:rFonts w:ascii="Century Gothic" w:eastAsia="Times New Roman" w:hAnsi="Century Gothic" w:cs="Arial"/>
                <w:sz w:val="20"/>
                <w:szCs w:val="20"/>
                <w:lang w:eastAsia="pl-PL"/>
              </w:rPr>
              <w:lastRenderedPageBreak/>
              <w:t>logicznego wyłączenia interfejsu  Hasła dostępowe zostaną przekazane do Działu Informatyki SU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Adresacja IP dla dostarczanych urządzeń oraz nazwy parametryczne np. nazwy komputerów, domen DNS, AE Title powinny być ustalane z Zamawiającym. W szczególności niedopuszczalne jest stosowanie fabrycznych nazw AE Title bazujących na nazwie modelu urządzenia. Wszystkie wykorzystane adresy IP oraz nazwy AE Title powinny być udokumentowane wraz z krótkim opisem urządzenia, do którego adres zostały przypisane. Listę wykorzystanych adresów IP należy dołączyć do dokumentacji powykonawczej.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INNE</w:t>
            </w:r>
          </w:p>
        </w:tc>
        <w:tc>
          <w:tcPr>
            <w:tcW w:w="1984"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Komplet dokumentów i testów, których wykonanie zgodnie z obowiązującymi przepisami leży po stronie dostawcy, a które są niezbędne do odbioru pracowni i urządzenia przez uprawnione instytucje - </w:t>
            </w:r>
            <w:r w:rsidRPr="00F72933">
              <w:rPr>
                <w:rFonts w:ascii="Century Gothic" w:eastAsia="Times New Roman" w:hAnsi="Century Gothic" w:cs="Arial"/>
                <w:sz w:val="20"/>
                <w:szCs w:val="20"/>
                <w:lang w:eastAsia="pl-PL"/>
              </w:rPr>
              <w:lastRenderedPageBreak/>
              <w:t>wymienić</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 zakończeniu prac – przeprowadzenie wszystkich niezbędnych pomiarów, testów i przekazanie dokumentacji zawierającej plany pomieszczeń wraz z zaznaczonymi strefami i wynikami pomiarów</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both"/>
              <w:rPr>
                <w:rFonts w:ascii="Century Gothic" w:eastAsia="Times New Roman" w:hAnsi="Century Gothic" w:cs="Arial"/>
                <w:b/>
                <w:sz w:val="20"/>
                <w:szCs w:val="20"/>
                <w:lang w:eastAsia="pl-PL"/>
              </w:rPr>
            </w:pPr>
            <w:r w:rsidRPr="00F72933">
              <w:rPr>
                <w:rFonts w:ascii="Century Gothic" w:eastAsia="Times New Roman" w:hAnsi="Century Gothic" w:cs="Arial"/>
                <w:b/>
                <w:sz w:val="20"/>
                <w:szCs w:val="20"/>
                <w:lang w:eastAsia="pl-PL"/>
              </w:rPr>
              <w:t>PRACE ADPATACYJNE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b/>
                <w:sz w:val="16"/>
                <w:szCs w:val="16"/>
              </w:rPr>
            </w:pPr>
          </w:p>
        </w:tc>
      </w:tr>
      <w:tr w:rsidR="007D11FB" w:rsidRPr="00F72933" w:rsidTr="007D11FB">
        <w:tc>
          <w:tcPr>
            <w:tcW w:w="676"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Montaż urządzenia – we wskazanych pomieszczeniach NSSU Kraków –Prokocim.</w:t>
            </w:r>
          </w:p>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Wykonawca zobowiązuje się, że wszystkie prace i czynności nie wpłyną na gwarancję obiektu NSSU jako całości</w:t>
            </w:r>
            <w:r>
              <w:rPr>
                <w:rFonts w:ascii="Century Gothic" w:eastAsia="Times New Roman" w:hAnsi="Century Gothic" w:cs="Arial"/>
                <w:sz w:val="20"/>
                <w:szCs w:val="20"/>
                <w:lang w:eastAsia="pl-PL"/>
              </w:rPr>
              <w:t xml:space="preserve">. </w:t>
            </w:r>
            <w:r w:rsidRPr="006A4CB0">
              <w:rPr>
                <w:rFonts w:ascii="Century Gothic" w:eastAsia="Times New Roman" w:hAnsi="Century Gothic" w:cs="Arial"/>
                <w:sz w:val="20"/>
                <w:szCs w:val="20"/>
                <w:lang w:eastAsia="pl-PL"/>
              </w:rPr>
              <w:t>(pomieszczenie C.B.-1.11)</w:t>
            </w: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Powierzchnia instalacyjna [m2]</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Wykonawca gwarantuje, że masa systemu nie wpłynie na dopuszczalne obciążenie stropu pracowni</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 xml:space="preserve">Podać informację czy system wymaga dodatkowych (poza istniejącą infrastruktury) </w:t>
            </w:r>
            <w:r w:rsidRPr="00F72933">
              <w:rPr>
                <w:rFonts w:ascii="Century Gothic" w:hAnsi="Century Gothic" w:cs="Arial"/>
                <w:sz w:val="20"/>
                <w:szCs w:val="20"/>
              </w:rPr>
              <w:lastRenderedPageBreak/>
              <w:t>instalacji chłodzących</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 przypadku</w:t>
            </w:r>
            <w:r w:rsidR="00DF6990">
              <w:rPr>
                <w:rFonts w:ascii="Century Gothic" w:hAnsi="Century Gothic" w:cs="Arial"/>
                <w:sz w:val="20"/>
                <w:szCs w:val="20"/>
              </w:rPr>
              <w:t xml:space="preserve"> potrzeby odprowadzenia ciepła </w:t>
            </w:r>
            <w:r w:rsidRPr="00F72933">
              <w:rPr>
                <w:rFonts w:ascii="Century Gothic" w:hAnsi="Century Gothic" w:cs="Arial"/>
                <w:sz w:val="20"/>
                <w:szCs w:val="20"/>
              </w:rPr>
              <w:t>z oferowanego systemu, urządzeń zasilających, peryferyjnych i komputerów należy dostarczyć i zainstalować odpowiedni system zapewniający pracę systemu w warunkach zgodnych z wytycznymi producenta</w:t>
            </w:r>
          </w:p>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
                <w:sz w:val="20"/>
                <w:szCs w:val="20"/>
              </w:rPr>
              <w:t>UWAGA:</w:t>
            </w:r>
            <w:r w:rsidR="00973FBC">
              <w:rPr>
                <w:rFonts w:ascii="Century Gothic" w:hAnsi="Century Gothic" w:cs="Arial"/>
                <w:b/>
                <w:sz w:val="20"/>
                <w:szCs w:val="20"/>
              </w:rPr>
              <w:t xml:space="preserve"> </w:t>
            </w:r>
            <w:r w:rsidRPr="00F72933">
              <w:rPr>
                <w:rFonts w:ascii="Century Gothic" w:hAnsi="Century Gothic" w:cs="Arial"/>
                <w:i/>
                <w:sz w:val="20"/>
                <w:szCs w:val="20"/>
              </w:rPr>
              <w:t>po stronie Wykonawcy wszystkie ewentualne prace i czynności projektowe (w tym dokonanie uzgodnień z projektantem szpitala) i wykonawcze</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Cs/>
                <w:iCs/>
                <w:sz w:val="20"/>
                <w:szCs w:val="20"/>
              </w:rPr>
              <w:t>Wymagana moc przyłączeniowa zasilania energetycznego [kVA]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eastAsia="Calibri" w:hAnsi="Century Gothic" w:cs="Arial"/>
                <w:sz w:val="16"/>
                <w:szCs w:val="16"/>
              </w:rPr>
            </w:pPr>
            <w:r w:rsidRPr="00F72933">
              <w:rPr>
                <w:rFonts w:ascii="Century Gothic" w:eastAsia="Calibri" w:hAnsi="Century Gothic" w:cs="Arial"/>
                <w:sz w:val="16"/>
                <w:szCs w:val="16"/>
              </w:rPr>
              <w:t>Najmniejsza wartość – 5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eastAsia="Calibri" w:hAnsi="Century Gothic" w:cs="Arial"/>
                <w:sz w:val="16"/>
                <w:szCs w:val="16"/>
              </w:rPr>
              <w:t>Inne – proporcjonalnie mniej</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Wykonawca gwarantuje, że jego urządzenie już po oddaniu do eksploatacji nie będzie wymagało prowadzenia przez Zamawiającego dodatkowych instalacji i innych prac związanych z eksploatacją urządzenia.</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Ciężar całego systemu [kg] z rozbiciem na </w:t>
            </w:r>
            <w:r w:rsidRPr="00F72933">
              <w:rPr>
                <w:rFonts w:ascii="Century Gothic" w:hAnsi="Century Gothic" w:cs="Arial"/>
                <w:bCs/>
                <w:iCs/>
                <w:sz w:val="20"/>
              </w:rPr>
              <w:lastRenderedPageBreak/>
              <w:t>najbardziej istotne elementy składowe</w:t>
            </w:r>
          </w:p>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UWAGA – Wykonawca gwarantuje jednocześnie, że masa systemu nie wpłynie na dopuszczalne obciążenie konstrukcji obiektu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Warunki klimatyczne wymagane podczas pracy urządzenia:</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temperatur [0C]</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wilgotności [%]</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
                <w:bCs/>
                <w:iCs/>
                <w:sz w:val="20"/>
              </w:rPr>
            </w:pPr>
            <w:r w:rsidRPr="00F72933">
              <w:rPr>
                <w:rFonts w:ascii="Century Gothic" w:hAnsi="Century Gothic" w:cs="Arial"/>
                <w:b/>
                <w:bCs/>
                <w:iCs/>
                <w:sz w:val="20"/>
              </w:rPr>
              <w:t>PRACE PROJEKTOWE I INSTALACYJNE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b/>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b/>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niezbędne prace instalacyjne i adaptacyjne (opracowanie projektów i realizacja), oraz dokumentacja – konieczne do odbioru i dopuszczenia do eksploatacji pracowni oraz aparatu przez uprawnione instytucje.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Pełna dokumentacja powykonawcza zawierająca dokumentację architektoniczną, budowlaną, instalacyjną - w tym informacje elektryczne i teletechniczne.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Wykonawca jest odpowiedzialny za realizację całokształtu prac adaptacyjnych i instalacyjnych przy współpracy z </w:t>
            </w:r>
            <w:r w:rsidRPr="00F72933">
              <w:rPr>
                <w:rFonts w:ascii="Century Gothic" w:hAnsi="Century Gothic" w:cs="Arial"/>
                <w:bCs/>
                <w:iCs/>
                <w:sz w:val="20"/>
              </w:rPr>
              <w:lastRenderedPageBreak/>
              <w:t>inspektorem nadzoru Zamawiającego</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prace porządkowe po instalacji, odbiór zbędnych opakowań, substancji szkodliwych (o ile występują), naprawa szkód (o ile wystąpią podczas dostawy i montażu)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obrębie pomieszczeń i ich otoczeniu – przygotowanie i odpowiednie zabezpieczenie dróg transportu, otworów montażowych oraz innych niezbędnych obiektów i czynności związanych z realizacją przedmiotu zamówienia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bl>
    <w:p w:rsidR="00386BDE" w:rsidRPr="00F72933" w:rsidRDefault="00386BDE" w:rsidP="004E2C20">
      <w:pPr>
        <w:spacing w:line="288" w:lineRule="auto"/>
        <w:rPr>
          <w:rFonts w:ascii="Century Gothic" w:hAnsi="Century Gothic"/>
        </w:rPr>
      </w:pPr>
    </w:p>
    <w:p w:rsidR="007801F5" w:rsidRPr="00F72933" w:rsidRDefault="00D1194B" w:rsidP="004E2C20">
      <w:pPr>
        <w:spacing w:line="288" w:lineRule="auto"/>
        <w:rPr>
          <w:rFonts w:ascii="Century Gothic" w:hAnsi="Century Gothic"/>
          <w:sz w:val="20"/>
          <w:szCs w:val="20"/>
        </w:rPr>
      </w:pPr>
      <w:r w:rsidRPr="00F72933">
        <w:rPr>
          <w:rFonts w:ascii="Century Gothic" w:eastAsia="Times New Roman" w:hAnsi="Century Gothic" w:cs="Arial"/>
          <w:b/>
          <w:sz w:val="20"/>
          <w:szCs w:val="20"/>
          <w:lang w:eastAsia="pl-PL"/>
        </w:rPr>
        <w:t>WARUNKI GWARANCJI I SERWISU</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5"/>
        <w:gridCol w:w="4536"/>
        <w:gridCol w:w="2835"/>
      </w:tblGrid>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1A32C6"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1A32C6" w:rsidP="004E2C20">
            <w:pPr>
              <w:spacing w:line="288" w:lineRule="auto"/>
              <w:jc w:val="both"/>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parametr wymagany</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 oferowany</w:t>
            </w: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ocena pkt.</w:t>
            </w:r>
          </w:p>
        </w:tc>
      </w:tr>
      <w:tr w:rsidR="001A32C6" w:rsidRPr="00F72933" w:rsidTr="00105D7E">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sz w:val="20"/>
                <w:szCs w:val="20"/>
                <w:lang w:eastAsia="pl-PL"/>
              </w:rPr>
              <w:t>Okres gwarancji dla wszystkich głównych składników oferty oraz współpracujących z nimi urządzeń  [liczba miesięcy]</w:t>
            </w:r>
          </w:p>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t>Zamawiający zastrzega, że okres rękojmi musi być równy okresowi gwarancji.</w:t>
            </w:r>
          </w:p>
          <w:p w:rsidR="00105D7E" w:rsidRPr="00F72933" w:rsidRDefault="00105D7E"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lastRenderedPageBreak/>
              <w:t xml:space="preserve">Zamawiający zastrzega, że górna granica ocenianej liczby miesięcy gwarancji to </w:t>
            </w:r>
            <w:r w:rsidR="002331CD">
              <w:rPr>
                <w:rFonts w:ascii="Century Gothic" w:eastAsia="Times New Roman" w:hAnsi="Century Gothic" w:cs="Arial"/>
                <w:i/>
                <w:iCs/>
                <w:sz w:val="20"/>
                <w:szCs w:val="20"/>
                <w:lang w:eastAsia="pl-PL"/>
              </w:rPr>
              <w:t>60</w:t>
            </w:r>
            <w:r w:rsidRPr="00F72933">
              <w:rPr>
                <w:rFonts w:ascii="Century Gothic" w:eastAsia="Times New Roman" w:hAnsi="Century Gothic" w:cs="Arial"/>
                <w:i/>
                <w:iCs/>
                <w:sz w:val="20"/>
                <w:szCs w:val="20"/>
                <w:lang w:eastAsia="pl-PL"/>
              </w:rPr>
              <w:t xml:space="preserve">. </w:t>
            </w:r>
          </w:p>
          <w:p w:rsidR="00105D7E" w:rsidRPr="00F72933" w:rsidRDefault="00105D7E" w:rsidP="004E2C20">
            <w:pPr>
              <w:spacing w:line="288" w:lineRule="auto"/>
              <w:jc w:val="both"/>
              <w:rPr>
                <w:rFonts w:ascii="Century Gothic" w:eastAsia="Times New Roman" w:hAnsi="Century Gothic"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105D7E">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min. 24</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F72933" w:rsidRDefault="00105D7E" w:rsidP="004E2C20">
            <w:pPr>
              <w:spacing w:line="288" w:lineRule="auto"/>
              <w:rPr>
                <w:rFonts w:ascii="Century Gothic" w:eastAsia="Times New Roman" w:hAnsi="Century Gothic" w:cs="Arial"/>
                <w:bCs/>
                <w:sz w:val="16"/>
                <w:szCs w:val="16"/>
                <w:lang w:eastAsia="pl-PL"/>
              </w:rPr>
            </w:pPr>
            <w:r w:rsidRPr="00F72933">
              <w:rPr>
                <w:rFonts w:ascii="Century Gothic" w:eastAsia="Times New Roman" w:hAnsi="Century Gothic" w:cs="Arial"/>
                <w:bCs/>
                <w:sz w:val="16"/>
                <w:szCs w:val="16"/>
                <w:lang w:eastAsia="pl-PL"/>
              </w:rPr>
              <w:t xml:space="preserve">Największa liczba miesięcy gwarancji   </w:t>
            </w:r>
            <w:r w:rsidR="004E2C20" w:rsidRPr="00F72933">
              <w:rPr>
                <w:rFonts w:ascii="Century Gothic" w:eastAsia="Times New Roman" w:hAnsi="Century Gothic" w:cs="Arial"/>
                <w:bCs/>
                <w:sz w:val="16"/>
                <w:szCs w:val="16"/>
                <w:lang w:eastAsia="pl-PL"/>
              </w:rPr>
              <w:t xml:space="preserve"> – </w:t>
            </w:r>
            <w:r w:rsidR="00D33189">
              <w:rPr>
                <w:rFonts w:ascii="Century Gothic" w:eastAsia="Times New Roman" w:hAnsi="Century Gothic" w:cs="Arial"/>
                <w:bCs/>
                <w:sz w:val="16"/>
                <w:szCs w:val="16"/>
                <w:lang w:eastAsia="pl-PL"/>
              </w:rPr>
              <w:t>2</w:t>
            </w:r>
            <w:r w:rsidRPr="00F72933">
              <w:rPr>
                <w:rFonts w:ascii="Century Gothic" w:eastAsia="Times New Roman" w:hAnsi="Century Gothic" w:cs="Arial"/>
                <w:bCs/>
                <w:sz w:val="16"/>
                <w:szCs w:val="16"/>
                <w:lang w:eastAsia="pl-PL"/>
              </w:rPr>
              <w:t>0</w:t>
            </w:r>
            <w:r w:rsidR="004E2C20" w:rsidRPr="00F72933">
              <w:rPr>
                <w:rFonts w:ascii="Century Gothic" w:eastAsia="Times New Roman" w:hAnsi="Century Gothic" w:cs="Arial"/>
                <w:bCs/>
                <w:sz w:val="16"/>
                <w:szCs w:val="16"/>
                <w:lang w:eastAsia="pl-PL"/>
              </w:rPr>
              <w:t xml:space="preserve"> pkt.</w:t>
            </w:r>
          </w:p>
          <w:p w:rsidR="004E2C20" w:rsidRPr="00F72933" w:rsidRDefault="00105D7E" w:rsidP="004E2C20">
            <w:pPr>
              <w:spacing w:line="288" w:lineRule="auto"/>
              <w:rPr>
                <w:rFonts w:ascii="Century Gothic" w:eastAsia="Times New Roman" w:hAnsi="Century Gothic" w:cs="Arial"/>
                <w:bCs/>
                <w:sz w:val="16"/>
                <w:szCs w:val="16"/>
                <w:lang w:eastAsia="pl-PL"/>
              </w:rPr>
            </w:pPr>
            <w:r w:rsidRPr="00F72933">
              <w:rPr>
                <w:rFonts w:ascii="Century Gothic" w:eastAsia="Times New Roman" w:hAnsi="Century Gothic" w:cs="Arial"/>
                <w:bCs/>
                <w:sz w:val="16"/>
                <w:szCs w:val="16"/>
                <w:lang w:eastAsia="pl-PL"/>
              </w:rPr>
              <w:t xml:space="preserve">Pozostałe - proporcjonalnie mniej </w:t>
            </w:r>
          </w:p>
          <w:p w:rsidR="004E2C20" w:rsidRPr="00F72933" w:rsidRDefault="004E2C20" w:rsidP="004E2C20">
            <w:pPr>
              <w:spacing w:line="288" w:lineRule="auto"/>
              <w:rPr>
                <w:rFonts w:ascii="Century Gothic" w:eastAsia="Times New Roman" w:hAnsi="Century Gothic" w:cs="Arial"/>
                <w:bCs/>
                <w:sz w:val="16"/>
                <w:szCs w:val="16"/>
                <w:lang w:eastAsia="pl-PL"/>
              </w:rPr>
            </w:pP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Gwarancja produkcji części zamiennych [liczba lat] – min. 8 lat (peryferyjny sprzęt komputerowy – min. 5 lat)</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Przedłużenie okresu gwarancji o każdy dzień trwającej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WARUNKI SERWISU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
                <w:bCs/>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3671A3"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Zdalna diagnostyka przez chronione łącze z możliwością rejestracji i odczytu online rejestrów błędów, oraz monitorowaniem systemu (uwaga – całość ewentualnych prac i wyposażenia sprzętowego, które będzie służyło tej funkcjonalności po stronie wykonawcy)</w:t>
            </w:r>
          </w:p>
          <w:p w:rsidR="003671A3" w:rsidRPr="00F72933" w:rsidRDefault="003671A3" w:rsidP="004E2C20">
            <w:pPr>
              <w:spacing w:line="288" w:lineRule="auto"/>
              <w:jc w:val="both"/>
              <w:rPr>
                <w:rFonts w:ascii="Century Gothic" w:eastAsia="Times New Roman" w:hAnsi="Century Gothic" w:cs="Arial"/>
                <w:sz w:val="20"/>
                <w:szCs w:val="20"/>
                <w:lang w:eastAsia="pl-PL"/>
              </w:rPr>
            </w:pPr>
          </w:p>
          <w:p w:rsidR="004E2C20" w:rsidRPr="00F72933" w:rsidRDefault="003671A3"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wymóg nie dotyczy wstrzykiwacza kontrastu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cenie oferty -  przeglądy okresowe w okresie gwarancji (w częstotliwości i w </w:t>
            </w:r>
            <w:r w:rsidRPr="00F72933">
              <w:rPr>
                <w:rFonts w:ascii="Century Gothic" w:eastAsia="Times New Roman" w:hAnsi="Century Gothic" w:cs="Arial"/>
                <w:sz w:val="20"/>
                <w:szCs w:val="20"/>
                <w:lang w:eastAsia="pl-PL"/>
              </w:rPr>
              <w:lastRenderedPageBreak/>
              <w:t>zakresie zgodnym z wymogami producenta)</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Wszystkie czynności serwisowe, w tym przeglądy konserwacyjne, w okresie gwarancji - w ramach wynagrodzenia umownego</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10181F" w:rsidRPr="00F72933" w:rsidRDefault="004E2C20" w:rsidP="007376E7">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Czas reakcji (dotyczy także reakcji zdalnej): „przyjęte zgłoszenie – podjęta naprawa” =&lt; 24 [godz.]</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Możliwość zgłoszeń </w:t>
            </w:r>
            <w:r w:rsidR="007376E7" w:rsidRPr="00F72933">
              <w:rPr>
                <w:rFonts w:ascii="Century Gothic" w:eastAsia="Times New Roman" w:hAnsi="Century Gothic" w:cs="Times New Roman"/>
                <w:sz w:val="20"/>
                <w:szCs w:val="20"/>
                <w:lang w:eastAsia="pl-PL"/>
              </w:rPr>
              <w:t xml:space="preserve">w godzinach 8-21, </w:t>
            </w:r>
            <w:r w:rsidRPr="00F72933">
              <w:rPr>
                <w:rFonts w:ascii="Century Gothic" w:eastAsia="Times New Roman" w:hAnsi="Century Gothic" w:cs="Arial"/>
                <w:sz w:val="20"/>
                <w:szCs w:val="20"/>
                <w:lang w:eastAsia="pl-PL"/>
              </w:rPr>
              <w:t xml:space="preserve">24h/dobę, 365 dni/rok </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Wymiana każdego podzespołu na nowy po pierwszej  nieskutecznej próbie jego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Struktura serwisowa gwarantująca realizację wymogów stawianych w niniejszej </w:t>
            </w:r>
            <w:r w:rsidRPr="00F72933">
              <w:rPr>
                <w:rFonts w:ascii="Century Gothic" w:eastAsia="Times New Roman" w:hAnsi="Century Gothic" w:cs="Arial"/>
                <w:sz w:val="20"/>
                <w:szCs w:val="20"/>
                <w:lang w:eastAsia="pl-PL"/>
              </w:rPr>
              <w:lastRenderedPageBreak/>
              <w:t>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Aparat/y jest pozbawiony haseł, kodów, blokad serwisowych, itp., które po upływie gwarancji utrudniałyby właścicielowi dostęp do opcji serwisowych lub naprawę aparatu przez inny niż Wykonawca umowy podmiot, w przypadku nie korzystania przez zamawiającego z serwisu pogwarancyjnego Wykonawcy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należy przewidzieć podstawowe szkolenia w trakcie dostawy i instalacji urządzenia oraz drugą serię szkoleń w trakcie uruchamiania pracowni (termin poda pisemnie Zamawiający z min. 2 tygodniowym wyprzedzeniem).</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Ponadto - obowiązek stałego wsparcia </w:t>
            </w:r>
            <w:r w:rsidRPr="00F72933">
              <w:rPr>
                <w:rFonts w:ascii="Century Gothic" w:eastAsia="Times New Roman" w:hAnsi="Century Gothic" w:cs="Arial"/>
                <w:sz w:val="20"/>
                <w:szCs w:val="20"/>
                <w:lang w:eastAsia="pl-PL"/>
              </w:rPr>
              <w:lastRenderedPageBreak/>
              <w:t>aplikacyjnego w początkowym (do 6  -ciu miesięcy po oddaniu pracownii do eksploatacji)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medycznego z zakresu obsługi urządzenia (min. 2 osoby dla szkolenia podstawowego oraz min. 10 osób w trakcie uruchamiania pracowni - z możliwością podziału i szkolenia w mniejszych podgrupach)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technicznego (min. 1 osoba dla wszystkich etapów szkoleń) z zakresu podstawowej diagnostyki stanu technicznego i wykonywania podstawowych czynności konserwacyjnych, naprawczych i przeglądowych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informatyków (min. 1 osoba dla wszystkich etapów szkoleń) z zakresu podstawowej konfiguracji i diagnostyki elementów komunikacji sieciowej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DOKUMENTACJA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Instrukcje obsługi w języku polskim w formie elektronicznej i drukowanej (przekazane w momencie dostawy dla każdego egzemplarza) – dotyczy także urządzeń peryferyjnych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 cenie urządzenia znajduje się komplet akcesoriów, okablowania itp. asortymentu niezbędnego do uruchomienia i funkcjonowania aparatu jako całości w wymaganej specyfikacją konfiguracji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Dokumentacja (lub tzw. lista kontrolna zawierająca wykaz części i czynności) dotycząca przeglądów technicznych w języku polskim (dostarczona przy dostawie)</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dokumentacja musi zapewnić co najmniej pełną diagnostykę urządzenia, wykonywanie drobnych napraw, regulacji, kalibracji, oraz przeglądów okresowych w standardzie wymaganym przez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Z urządzeniem wykonawca dostarczy paszport techniczny zawierający co najmniej takie dane jak: nazwa, typ </w:t>
            </w:r>
            <w:r w:rsidRPr="00F72933">
              <w:rPr>
                <w:rFonts w:ascii="Century Gothic" w:eastAsia="Times New Roman" w:hAnsi="Century Gothic" w:cs="Arial"/>
                <w:sz w:val="20"/>
                <w:szCs w:val="20"/>
                <w:lang w:eastAsia="pl-PL"/>
              </w:rPr>
              <w:lastRenderedPageBreak/>
              <w:t>(model), producent, rok produkcji, numer seryjny (fabryczny), inne istotne informacje (np. części składowe, istotne wyposażenie, oprogramowanie), kody z aktualnie obowiązującego słownika NFZ (o ile występują)</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Instrukcja konserwacji, mycia, dezynfekcji i sterylizacji dla poszczególnych elementów aparatów.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mycia i dezynfekcji poszczególnych elementów aparatów w oparciu o przedstawione przez wykonawcę zalecane preparaty myjące i dezynfekujące.</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i/>
                <w:iCs/>
                <w:sz w:val="20"/>
                <w:szCs w:val="20"/>
                <w:lang w:eastAsia="pl-PL"/>
              </w:rPr>
              <w:t>UWAGA – zalecane środki powinny zawierać nazwy związków chemicznych, a nie tylko nazwy handlowe preparatów.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1A32C6"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p w:rsidR="001A32C6" w:rsidRPr="00F72933" w:rsidRDefault="001A32C6" w:rsidP="001A32C6">
            <w:pPr>
              <w:rPr>
                <w:rFonts w:ascii="Century Gothic" w:eastAsia="Times New Roman" w:hAnsi="Century Gothic" w:cs="Arial"/>
                <w:sz w:val="20"/>
                <w:szCs w:val="20"/>
                <w:lang w:eastAsia="pl-PL"/>
              </w:rPr>
            </w:pPr>
          </w:p>
          <w:p w:rsidR="001A32C6" w:rsidRPr="00F72933" w:rsidRDefault="001A32C6" w:rsidP="001A32C6">
            <w:pPr>
              <w:rPr>
                <w:rFonts w:ascii="Century Gothic" w:eastAsia="Times New Roman" w:hAnsi="Century Gothic" w:cs="Arial"/>
                <w:sz w:val="20"/>
                <w:szCs w:val="20"/>
                <w:lang w:eastAsia="pl-PL"/>
              </w:rPr>
            </w:pPr>
          </w:p>
          <w:p w:rsidR="004E2C20" w:rsidRPr="00F72933" w:rsidRDefault="004E2C20" w:rsidP="001A32C6">
            <w:pPr>
              <w:rPr>
                <w:rFonts w:ascii="Century Gothic" w:eastAsia="Times New Roman" w:hAnsi="Century Gothic" w:cs="Arial"/>
                <w:sz w:val="20"/>
                <w:szCs w:val="20"/>
                <w:lang w:eastAsia="pl-PL"/>
              </w:rPr>
            </w:pP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bl>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sectPr w:rsidR="007801F5" w:rsidRPr="00F72933" w:rsidSect="00AB747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200" w:rsidRDefault="001B1200" w:rsidP="008D204E">
      <w:pPr>
        <w:spacing w:after="0" w:line="240" w:lineRule="auto"/>
      </w:pPr>
      <w:r>
        <w:separator/>
      </w:r>
    </w:p>
  </w:endnote>
  <w:endnote w:type="continuationSeparator" w:id="0">
    <w:p w:rsidR="001B1200" w:rsidRDefault="001B1200" w:rsidP="008D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522850"/>
      <w:docPartObj>
        <w:docPartGallery w:val="Page Numbers (Bottom of Page)"/>
        <w:docPartUnique/>
      </w:docPartObj>
    </w:sdtPr>
    <w:sdtEndPr/>
    <w:sdtContent>
      <w:p w:rsidR="001C5B70" w:rsidRDefault="001C5B70" w:rsidP="00795A84">
        <w:pPr>
          <w:pStyle w:val="Stopka"/>
          <w:jc w:val="right"/>
        </w:pPr>
        <w:r w:rsidRPr="00260E5E">
          <w:t>podpis i pieczęć osoby (osób) upoważnionej do reprezentowania wykonawcy</w:t>
        </w:r>
      </w:p>
      <w:p w:rsidR="001C5B70" w:rsidRDefault="004B1796" w:rsidP="00795A84">
        <w:pPr>
          <w:pStyle w:val="Stopka"/>
          <w:jc w:val="right"/>
        </w:pPr>
        <w:r>
          <w:fldChar w:fldCharType="begin"/>
        </w:r>
        <w:r w:rsidR="001C5B70">
          <w:instrText>PAGE   \* MERGEFORMAT</w:instrText>
        </w:r>
        <w:r>
          <w:fldChar w:fldCharType="separate"/>
        </w:r>
        <w:r w:rsidR="006A4CB0">
          <w:rPr>
            <w:noProof/>
          </w:rPr>
          <w:t>7</w:t>
        </w:r>
        <w:r>
          <w:fldChar w:fldCharType="end"/>
        </w:r>
      </w:p>
      <w:p w:rsidR="001C5B70" w:rsidRDefault="001B1200">
        <w:pPr>
          <w:pStyle w:val="Stopka"/>
          <w:jc w:val="right"/>
        </w:pPr>
      </w:p>
    </w:sdtContent>
  </w:sdt>
  <w:p w:rsidR="001C5B70" w:rsidRDefault="001C5B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200" w:rsidRDefault="001B1200" w:rsidP="008D204E">
      <w:pPr>
        <w:spacing w:after="0" w:line="240" w:lineRule="auto"/>
      </w:pPr>
      <w:r>
        <w:separator/>
      </w:r>
    </w:p>
  </w:footnote>
  <w:footnote w:type="continuationSeparator" w:id="0">
    <w:p w:rsidR="001B1200" w:rsidRDefault="001B1200" w:rsidP="008D2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70" w:rsidRDefault="001C5B70" w:rsidP="00525595">
    <w:pPr>
      <w:pStyle w:val="Nagwek"/>
      <w:jc w:val="center"/>
    </w:pPr>
    <w:r>
      <w:rPr>
        <w:noProof/>
        <w:sz w:val="18"/>
        <w:szCs w:val="18"/>
        <w:lang w:eastAsia="pl-PL"/>
      </w:rPr>
      <w:drawing>
        <wp:inline distT="0" distB="0" distL="0" distR="0">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1C5B70" w:rsidRPr="00181303" w:rsidRDefault="001C5B70" w:rsidP="00795A84">
    <w:pPr>
      <w:tabs>
        <w:tab w:val="center" w:pos="4536"/>
        <w:tab w:val="right" w:pos="14040"/>
      </w:tabs>
      <w:spacing w:after="0" w:line="240" w:lineRule="auto"/>
      <w:ind w:left="11057" w:hanging="11057"/>
      <w:rPr>
        <w:rFonts w:ascii="Garamond" w:eastAsia="Times New Roman" w:hAnsi="Garamond"/>
        <w:lang w:eastAsia="pl-PL"/>
      </w:rPr>
    </w:pPr>
    <w:r>
      <w:rPr>
        <w:rFonts w:ascii="Garamond" w:eastAsia="Times New Roman" w:hAnsi="Garamond"/>
        <w:bCs/>
        <w:sz w:val="20"/>
        <w:lang w:eastAsia="pl-PL"/>
      </w:rPr>
      <w:t>NSSU.DFP.</w:t>
    </w:r>
    <w:r w:rsidR="00525595">
      <w:rPr>
        <w:rFonts w:ascii="Garamond" w:eastAsia="Times New Roman" w:hAnsi="Garamond"/>
        <w:bCs/>
        <w:sz w:val="20"/>
        <w:lang w:eastAsia="pl-PL"/>
      </w:rPr>
      <w:t>271.16.2019.BM</w:t>
    </w:r>
    <w:r>
      <w:rPr>
        <w:rFonts w:ascii="Garamond" w:eastAsia="Times New Roman" w:hAnsi="Garamond"/>
        <w:lang w:eastAsia="pl-PL"/>
      </w:rPr>
      <w:tab/>
    </w:r>
    <w:r>
      <w:rPr>
        <w:rFonts w:ascii="Garamond" w:eastAsia="Times New Roman" w:hAnsi="Garamond"/>
        <w:lang w:eastAsia="pl-PL"/>
      </w:rPr>
      <w:tab/>
    </w:r>
    <w:r w:rsidRPr="00181303">
      <w:rPr>
        <w:rFonts w:ascii="Garamond" w:eastAsia="Times New Roman" w:hAnsi="Garamond"/>
        <w:lang w:eastAsia="pl-PL"/>
      </w:rPr>
      <w:t>Załącznik nr 1a do specyfikacji</w:t>
    </w:r>
  </w:p>
  <w:p w:rsidR="001C5B70" w:rsidRPr="00795A84" w:rsidRDefault="001C5B70" w:rsidP="00795A84">
    <w:pPr>
      <w:autoSpaceDN w:val="0"/>
      <w:spacing w:after="0" w:line="240" w:lineRule="auto"/>
      <w:ind w:firstLine="11057"/>
      <w:rPr>
        <w:rFonts w:ascii="Century Gothic" w:eastAsia="Times New Roman" w:hAnsi="Century Gothic"/>
        <w:b/>
        <w:kern w:val="3"/>
        <w:sz w:val="20"/>
        <w:szCs w:val="20"/>
        <w:lang w:eastAsia="zh-CN"/>
      </w:rPr>
    </w:pPr>
    <w:r w:rsidRPr="00181303">
      <w:rPr>
        <w:rFonts w:ascii="Garamond" w:eastAsia="Times New Roman" w:hAnsi="Garamond"/>
        <w:lang w:eastAsia="pl-PL"/>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983229"/>
    <w:multiLevelType w:val="hybridMultilevel"/>
    <w:tmpl w:val="1F369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447613C9"/>
    <w:multiLevelType w:val="hybridMultilevel"/>
    <w:tmpl w:val="5470A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0F4A4C"/>
    <w:multiLevelType w:val="hybridMultilevel"/>
    <w:tmpl w:val="4E081BC4"/>
    <w:lvl w:ilvl="0" w:tplc="1902D0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80A09"/>
    <w:rsid w:val="00037F56"/>
    <w:rsid w:val="000600EE"/>
    <w:rsid w:val="00080A09"/>
    <w:rsid w:val="00090ADF"/>
    <w:rsid w:val="0010181F"/>
    <w:rsid w:val="00105D7E"/>
    <w:rsid w:val="001206B7"/>
    <w:rsid w:val="00165107"/>
    <w:rsid w:val="0017367E"/>
    <w:rsid w:val="001A32C6"/>
    <w:rsid w:val="001B1200"/>
    <w:rsid w:val="001C5B70"/>
    <w:rsid w:val="001D1F84"/>
    <w:rsid w:val="00205766"/>
    <w:rsid w:val="002331CD"/>
    <w:rsid w:val="00247229"/>
    <w:rsid w:val="003176A2"/>
    <w:rsid w:val="00334FBD"/>
    <w:rsid w:val="003671A3"/>
    <w:rsid w:val="00386BDE"/>
    <w:rsid w:val="003A1CD2"/>
    <w:rsid w:val="003B3D46"/>
    <w:rsid w:val="003F6A7A"/>
    <w:rsid w:val="004A3BCF"/>
    <w:rsid w:val="004B1796"/>
    <w:rsid w:val="004C22A6"/>
    <w:rsid w:val="004E2C20"/>
    <w:rsid w:val="004F1859"/>
    <w:rsid w:val="00525595"/>
    <w:rsid w:val="005B2468"/>
    <w:rsid w:val="005F02E7"/>
    <w:rsid w:val="0067095C"/>
    <w:rsid w:val="00695498"/>
    <w:rsid w:val="006A4CB0"/>
    <w:rsid w:val="007376E7"/>
    <w:rsid w:val="007400F7"/>
    <w:rsid w:val="00743FEF"/>
    <w:rsid w:val="007801F5"/>
    <w:rsid w:val="00795A84"/>
    <w:rsid w:val="007B4ABB"/>
    <w:rsid w:val="007D11FB"/>
    <w:rsid w:val="00875E1D"/>
    <w:rsid w:val="0088364D"/>
    <w:rsid w:val="008D204E"/>
    <w:rsid w:val="009237D1"/>
    <w:rsid w:val="00941FA7"/>
    <w:rsid w:val="00971948"/>
    <w:rsid w:val="00973FBC"/>
    <w:rsid w:val="00997301"/>
    <w:rsid w:val="009F1961"/>
    <w:rsid w:val="00A13821"/>
    <w:rsid w:val="00A21E9B"/>
    <w:rsid w:val="00A367EB"/>
    <w:rsid w:val="00A5031D"/>
    <w:rsid w:val="00A543AE"/>
    <w:rsid w:val="00A942F3"/>
    <w:rsid w:val="00AB7475"/>
    <w:rsid w:val="00AC7B8F"/>
    <w:rsid w:val="00C05BD4"/>
    <w:rsid w:val="00CB34BF"/>
    <w:rsid w:val="00CB37BE"/>
    <w:rsid w:val="00D03B01"/>
    <w:rsid w:val="00D05880"/>
    <w:rsid w:val="00D1194B"/>
    <w:rsid w:val="00D32A9F"/>
    <w:rsid w:val="00D33189"/>
    <w:rsid w:val="00D54DF6"/>
    <w:rsid w:val="00DF6990"/>
    <w:rsid w:val="00F43407"/>
    <w:rsid w:val="00F72933"/>
    <w:rsid w:val="00FF67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73AE8-81C7-4DD3-92AE-B79CD342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475"/>
  </w:style>
  <w:style w:type="paragraph" w:styleId="Nagwek1">
    <w:name w:val="heading 1"/>
    <w:basedOn w:val="Normalny"/>
    <w:next w:val="Normalny"/>
    <w:link w:val="Nagwek1Znak"/>
    <w:qFormat/>
    <w:rsid w:val="008D204E"/>
    <w:pPr>
      <w:keepNext/>
      <w:numPr>
        <w:numId w:val="2"/>
      </w:numPr>
      <w:spacing w:after="0" w:line="240" w:lineRule="auto"/>
      <w:outlineLvl w:val="0"/>
    </w:pPr>
    <w:rPr>
      <w:rFonts w:ascii="Times New Roman" w:eastAsia="Times New Roman" w:hAnsi="Times New Roman" w:cs="Times New Roman"/>
      <w:kern w:val="1"/>
      <w:sz w:val="24"/>
      <w:szCs w:val="20"/>
      <w:lang w:eastAsia="ar-SA"/>
    </w:rPr>
  </w:style>
  <w:style w:type="paragraph" w:styleId="Nagwek2">
    <w:name w:val="heading 2"/>
    <w:basedOn w:val="Normalny"/>
    <w:next w:val="Normalny"/>
    <w:link w:val="Nagwek2Znak"/>
    <w:qFormat/>
    <w:rsid w:val="008D204E"/>
    <w:pPr>
      <w:keepNext/>
      <w:numPr>
        <w:ilvl w:val="1"/>
        <w:numId w:val="2"/>
      </w:numPr>
      <w:spacing w:after="0" w:line="240" w:lineRule="auto"/>
      <w:outlineLvl w:val="1"/>
    </w:pPr>
    <w:rPr>
      <w:rFonts w:ascii="Times New Roman" w:eastAsia="Times New Roman" w:hAnsi="Times New Roman" w:cs="Times New Roman"/>
      <w:b/>
      <w:kern w:val="1"/>
      <w:sz w:val="24"/>
      <w:szCs w:val="20"/>
      <w:lang w:eastAsia="ar-SA"/>
    </w:rPr>
  </w:style>
  <w:style w:type="paragraph" w:styleId="Nagwek3">
    <w:name w:val="heading 3"/>
    <w:basedOn w:val="Normalny"/>
    <w:next w:val="Normalny"/>
    <w:link w:val="Nagwek3Znak"/>
    <w:qFormat/>
    <w:rsid w:val="008D204E"/>
    <w:pPr>
      <w:keepNext/>
      <w:numPr>
        <w:ilvl w:val="2"/>
        <w:numId w:val="2"/>
      </w:numPr>
      <w:spacing w:before="240" w:after="60" w:line="240" w:lineRule="auto"/>
      <w:outlineLvl w:val="2"/>
    </w:pPr>
    <w:rPr>
      <w:rFonts w:ascii="Arial" w:eastAsia="Times New Roman" w:hAnsi="Arial" w:cs="Arial"/>
      <w:b/>
      <w:bCs/>
      <w:kern w:val="1"/>
      <w:sz w:val="26"/>
      <w:szCs w:val="26"/>
      <w:lang w:eastAsia="ar-SA"/>
    </w:rPr>
  </w:style>
  <w:style w:type="paragraph" w:styleId="Nagwek4">
    <w:name w:val="heading 4"/>
    <w:basedOn w:val="Normalny"/>
    <w:next w:val="Normalny"/>
    <w:link w:val="Nagwek4Znak"/>
    <w:qFormat/>
    <w:rsid w:val="008D204E"/>
    <w:pPr>
      <w:keepNext/>
      <w:numPr>
        <w:ilvl w:val="3"/>
        <w:numId w:val="2"/>
      </w:numPr>
      <w:spacing w:before="240" w:after="60" w:line="240" w:lineRule="auto"/>
      <w:outlineLvl w:val="3"/>
    </w:pPr>
    <w:rPr>
      <w:rFonts w:ascii="Times New Roman" w:eastAsia="Times New Roman" w:hAnsi="Times New Roman" w:cs="Times New Roman"/>
      <w:b/>
      <w:bCs/>
      <w:kern w:val="1"/>
      <w:sz w:val="28"/>
      <w:szCs w:val="28"/>
      <w:lang w:eastAsia="ar-SA"/>
    </w:rPr>
  </w:style>
  <w:style w:type="paragraph" w:styleId="Nagwek6">
    <w:name w:val="heading 6"/>
    <w:basedOn w:val="Normalny"/>
    <w:next w:val="Normalny"/>
    <w:link w:val="Nagwek6Znak"/>
    <w:qFormat/>
    <w:rsid w:val="008D204E"/>
    <w:pPr>
      <w:numPr>
        <w:ilvl w:val="5"/>
        <w:numId w:val="2"/>
      </w:numPr>
      <w:spacing w:before="240" w:after="60" w:line="240" w:lineRule="auto"/>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74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475"/>
  </w:style>
  <w:style w:type="paragraph" w:styleId="Stopka">
    <w:name w:val="footer"/>
    <w:basedOn w:val="Normalny"/>
    <w:link w:val="StopkaZnak"/>
    <w:uiPriority w:val="99"/>
    <w:unhideWhenUsed/>
    <w:rsid w:val="00AB74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475"/>
  </w:style>
  <w:style w:type="paragraph" w:styleId="Tekstdymka">
    <w:name w:val="Balloon Text"/>
    <w:basedOn w:val="Normalny"/>
    <w:link w:val="TekstdymkaZnak"/>
    <w:uiPriority w:val="99"/>
    <w:semiHidden/>
    <w:unhideWhenUsed/>
    <w:rsid w:val="008D20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204E"/>
    <w:rPr>
      <w:rFonts w:ascii="Tahoma" w:hAnsi="Tahoma" w:cs="Tahoma"/>
      <w:sz w:val="16"/>
      <w:szCs w:val="16"/>
    </w:rPr>
  </w:style>
  <w:style w:type="paragraph" w:customStyle="1" w:styleId="Skrconyadreszwrotny">
    <w:name w:val="Skrócony adres zwrotny"/>
    <w:basedOn w:val="Normalny"/>
    <w:rsid w:val="008D204E"/>
    <w:pPr>
      <w:widowControl w:val="0"/>
      <w:suppressAutoHyphens/>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8D20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8D20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D204E"/>
    <w:rPr>
      <w:rFonts w:asciiTheme="majorHAnsi" w:eastAsiaTheme="majorEastAsia" w:hAnsiTheme="majorHAnsi" w:cstheme="majorBidi"/>
      <w:i/>
      <w:iCs/>
      <w:color w:val="4F81BD" w:themeColor="accent1"/>
      <w:spacing w:val="15"/>
      <w:sz w:val="24"/>
      <w:szCs w:val="24"/>
    </w:rPr>
  </w:style>
  <w:style w:type="character" w:customStyle="1" w:styleId="Nagwek1Znak">
    <w:name w:val="Nagłówek 1 Znak"/>
    <w:basedOn w:val="Domylnaczcionkaakapitu"/>
    <w:link w:val="Nagwek1"/>
    <w:rsid w:val="008D204E"/>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sid w:val="008D204E"/>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sid w:val="008D204E"/>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sid w:val="008D204E"/>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sid w:val="008D204E"/>
    <w:rPr>
      <w:rFonts w:ascii="Times New Roman" w:eastAsia="Times New Roman" w:hAnsi="Times New Roman" w:cs="Times New Roman"/>
      <w:b/>
      <w:bCs/>
      <w:kern w:val="1"/>
      <w:lang w:eastAsia="ar-SA"/>
    </w:rPr>
  </w:style>
  <w:style w:type="paragraph" w:customStyle="1" w:styleId="Zawartotabeli">
    <w:name w:val="Zawartość tabeli"/>
    <w:basedOn w:val="Normalny"/>
    <w:rsid w:val="008D204E"/>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styleId="Akapitzlist">
    <w:name w:val="List Paragraph"/>
    <w:basedOn w:val="Normalny"/>
    <w:uiPriority w:val="34"/>
    <w:qFormat/>
    <w:rsid w:val="001A32C6"/>
    <w:pPr>
      <w:ind w:left="720"/>
      <w:contextualSpacing/>
    </w:pPr>
  </w:style>
  <w:style w:type="numbering" w:customStyle="1" w:styleId="WW8Num2">
    <w:name w:val="WW8Num2"/>
    <w:rsid w:val="001D1F8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8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13001-A585-4592-BA11-73C758F7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3750</Words>
  <Characters>22502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Beata Musiał</cp:lastModifiedBy>
  <cp:revision>24</cp:revision>
  <cp:lastPrinted>2019-02-25T11:27:00Z</cp:lastPrinted>
  <dcterms:created xsi:type="dcterms:W3CDTF">2018-12-18T09:10:00Z</dcterms:created>
  <dcterms:modified xsi:type="dcterms:W3CDTF">2019-03-18T07:59:00Z</dcterms:modified>
</cp:coreProperties>
</file>