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A333E8" w:rsidRDefault="00227B9A" w:rsidP="00227B9A">
      <w:pPr>
        <w:spacing w:after="0" w:line="240" w:lineRule="auto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A333E8" w:rsidTr="00076065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A333E8" w:rsidRDefault="00227B9A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A333E8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:rsidR="00227B9A" w:rsidRPr="00A333E8" w:rsidRDefault="008B3950" w:rsidP="008B3950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A333E8">
              <w:rPr>
                <w:rFonts w:ascii="Garamond" w:eastAsia="Times New Roman" w:hAnsi="Garamond"/>
                <w:b/>
                <w:kern w:val="3"/>
                <w:lang w:eastAsia="zh-CN"/>
              </w:rPr>
              <w:t>Dostawa, instalacja i uruchomienie chromatografu gazowego  z detekcją płomieniowo-jonizacyjną (GC-FID) oraz niezbędnych akcesoriów do oznaczania alkoholi i substancji lotnych w materiale biologicznym</w:t>
            </w:r>
          </w:p>
        </w:tc>
      </w:tr>
    </w:tbl>
    <w:p w:rsidR="00227B9A" w:rsidRPr="00A333E8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:rsidR="008B3950" w:rsidRPr="00A333E8" w:rsidRDefault="008B3950" w:rsidP="008B3950">
      <w:pPr>
        <w:suppressAutoHyphens/>
        <w:autoSpaceDN w:val="0"/>
        <w:spacing w:after="120" w:line="276" w:lineRule="auto"/>
        <w:ind w:left="720"/>
        <w:jc w:val="both"/>
        <w:rPr>
          <w:rFonts w:ascii="Garamond" w:eastAsia="Lucida Sans Unicode" w:hAnsi="Garamond"/>
          <w:kern w:val="3"/>
          <w:u w:val="single"/>
          <w:lang w:eastAsia="zh-CN" w:bidi="hi-IN"/>
        </w:rPr>
      </w:pPr>
      <w:r w:rsidRPr="00A333E8">
        <w:rPr>
          <w:rFonts w:ascii="Garamond" w:eastAsia="Lucida Sans Unicode" w:hAnsi="Garamond"/>
          <w:kern w:val="3"/>
          <w:u w:val="single"/>
          <w:lang w:eastAsia="zh-CN" w:bidi="hi-IN"/>
        </w:rPr>
        <w:t>Uwagi i objaśnienia:</w:t>
      </w:r>
    </w:p>
    <w:p w:rsidR="008B3950" w:rsidRPr="00A333E8" w:rsidRDefault="008B3950" w:rsidP="008B3950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8B3950" w:rsidRPr="00A333E8" w:rsidRDefault="008B3950" w:rsidP="008B3950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8B3950" w:rsidRPr="00A333E8" w:rsidRDefault="008B3950" w:rsidP="008B3950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:rsidR="008B3950" w:rsidRPr="00A333E8" w:rsidRDefault="008B3950" w:rsidP="008B3950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:rsidR="008B3950" w:rsidRPr="00A333E8" w:rsidRDefault="008B3950" w:rsidP="008B3950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2021), nieużywany, kompletny i do jego uruchomienia oraz stosowania zgodnie z przeznaczeniem nie jest konieczny zakup dodatkowych elementów i akcesoriów. Żaden aparat ani jego część składowa, wyposażenie, nie jest sprzętem </w:t>
      </w:r>
      <w:proofErr w:type="spellStart"/>
      <w:r w:rsidRPr="00A333E8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A333E8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:rsidR="008B3950" w:rsidRPr="00A333E8" w:rsidRDefault="008B3950" w:rsidP="008B3950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:rsidR="00076065" w:rsidRPr="00A333E8" w:rsidRDefault="00076065" w:rsidP="00076065">
      <w:pPr>
        <w:suppressAutoHyphens/>
        <w:autoSpaceDN w:val="0"/>
        <w:spacing w:after="120" w:line="276" w:lineRule="auto"/>
        <w:ind w:left="720"/>
        <w:jc w:val="both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A333E8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7646"/>
      </w:tblGrid>
      <w:tr w:rsidR="00227B9A" w:rsidRPr="00A333E8" w:rsidTr="00F53C7C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515A9" w:rsidRDefault="00227B9A" w:rsidP="00076065">
            <w:pPr>
              <w:jc w:val="center"/>
              <w:rPr>
                <w:rFonts w:ascii="Garamond" w:eastAsia="Times New Roman" w:hAnsi="Garamond"/>
                <w:b/>
                <w:color w:val="000000" w:themeColor="text1"/>
                <w:lang w:eastAsia="pl-PL"/>
              </w:rPr>
            </w:pPr>
            <w:r w:rsidRPr="00C515A9">
              <w:rPr>
                <w:rFonts w:ascii="Garamond" w:eastAsia="Times New Roman" w:hAnsi="Garamond"/>
                <w:b/>
                <w:color w:val="000000" w:themeColor="text1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:rsidR="00227B9A" w:rsidRPr="00C515A9" w:rsidRDefault="00227B9A" w:rsidP="00076065">
            <w:pPr>
              <w:jc w:val="center"/>
              <w:rPr>
                <w:rFonts w:ascii="Garamond" w:eastAsia="Times New Roman" w:hAnsi="Garamond"/>
                <w:b/>
                <w:color w:val="000000" w:themeColor="text1"/>
                <w:lang w:eastAsia="pl-PL"/>
              </w:rPr>
            </w:pPr>
            <w:r w:rsidRPr="00C515A9">
              <w:rPr>
                <w:rFonts w:ascii="Garamond" w:eastAsia="Times New Roman" w:hAnsi="Garamond"/>
                <w:b/>
                <w:color w:val="000000" w:themeColor="text1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C515A9" w:rsidRDefault="00C515A9" w:rsidP="00076065">
            <w:pPr>
              <w:jc w:val="center"/>
              <w:rPr>
                <w:rFonts w:ascii="Garamond" w:eastAsia="Times New Roman" w:hAnsi="Garamond"/>
                <w:b/>
                <w:color w:val="000000" w:themeColor="text1"/>
                <w:lang w:eastAsia="pl-PL"/>
              </w:rPr>
            </w:pPr>
            <w:r w:rsidRPr="00C515A9">
              <w:rPr>
                <w:rFonts w:ascii="Garamond" w:eastAsia="Times New Roman" w:hAnsi="Garamond"/>
                <w:b/>
                <w:color w:val="000000" w:themeColor="text1"/>
                <w:lang w:eastAsia="pl-PL"/>
              </w:rPr>
              <w:t>Liczba zestawów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1CE2" w:rsidRPr="00C515A9" w:rsidRDefault="00C515A9" w:rsidP="00C41CE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C515A9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Cena zestawu</w:t>
            </w:r>
            <w:r w:rsidR="00C41CE2" w:rsidRPr="00C515A9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 xml:space="preserve"> wraz z dostawą, instalacją i uruchomieniem oraz szkoleniem </w:t>
            </w:r>
          </w:p>
          <w:p w:rsidR="00C41CE2" w:rsidRPr="00A333E8" w:rsidRDefault="00C41CE2" w:rsidP="00C41CE2">
            <w:pPr>
              <w:jc w:val="center"/>
              <w:rPr>
                <w:rFonts w:ascii="Garamond" w:eastAsia="Times New Roman" w:hAnsi="Garamond"/>
                <w:b/>
                <w:color w:val="FF0000"/>
                <w:lang w:eastAsia="pl-PL"/>
              </w:rPr>
            </w:pPr>
            <w:r w:rsidRPr="00C515A9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(brutto w zł)</w:t>
            </w:r>
          </w:p>
        </w:tc>
      </w:tr>
      <w:tr w:rsidR="00227B9A" w:rsidRPr="00A333E8" w:rsidTr="00F53C7C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515A9" w:rsidRDefault="00227B9A" w:rsidP="00076065">
            <w:pPr>
              <w:jc w:val="center"/>
              <w:rPr>
                <w:rFonts w:ascii="Garamond" w:eastAsia="Times New Roman" w:hAnsi="Garamond"/>
                <w:color w:val="000000" w:themeColor="text1"/>
                <w:lang w:eastAsia="pl-PL"/>
              </w:rPr>
            </w:pPr>
            <w:r w:rsidRPr="00C515A9">
              <w:rPr>
                <w:rFonts w:ascii="Garamond" w:eastAsia="Times New Roman" w:hAnsi="Garamond"/>
                <w:color w:val="000000" w:themeColor="text1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515A9" w:rsidRDefault="00C515A9" w:rsidP="00E57EF8">
            <w:pPr>
              <w:rPr>
                <w:rFonts w:ascii="Garamond" w:eastAsia="Times New Roman" w:hAnsi="Garamond"/>
                <w:color w:val="000000" w:themeColor="text1"/>
                <w:lang w:eastAsia="pl-PL"/>
              </w:rPr>
            </w:pPr>
            <w:r w:rsidRPr="00C515A9">
              <w:rPr>
                <w:rFonts w:ascii="Garamond" w:eastAsia="Times New Roman" w:hAnsi="Garamond"/>
                <w:color w:val="000000" w:themeColor="text1"/>
                <w:lang w:eastAsia="pl-PL"/>
              </w:rPr>
              <w:t xml:space="preserve">Chromatograf gazowy </w:t>
            </w:r>
            <w:r w:rsidR="009207F6" w:rsidRPr="00C515A9">
              <w:rPr>
                <w:rFonts w:ascii="Garamond" w:eastAsia="Times New Roman" w:hAnsi="Garamond"/>
                <w:color w:val="000000" w:themeColor="text1"/>
                <w:lang w:eastAsia="pl-PL"/>
              </w:rPr>
              <w:t>z detekcją płomieniowo-joniz</w:t>
            </w:r>
            <w:r w:rsidRPr="00C515A9">
              <w:rPr>
                <w:rFonts w:ascii="Garamond" w:eastAsia="Times New Roman" w:hAnsi="Garamond"/>
                <w:color w:val="000000" w:themeColor="text1"/>
                <w:lang w:eastAsia="pl-PL"/>
              </w:rPr>
              <w:t>acyjną (GC-FID) oraz niezbędne</w:t>
            </w:r>
            <w:r w:rsidR="009207F6" w:rsidRPr="00C515A9">
              <w:rPr>
                <w:rFonts w:ascii="Garamond" w:eastAsia="Times New Roman" w:hAnsi="Garamond"/>
                <w:color w:val="000000" w:themeColor="text1"/>
                <w:lang w:eastAsia="pl-PL"/>
              </w:rPr>
              <w:t xml:space="preserve"> akcesor</w:t>
            </w:r>
            <w:r w:rsidRPr="00C515A9">
              <w:rPr>
                <w:rFonts w:ascii="Garamond" w:eastAsia="Times New Roman" w:hAnsi="Garamond"/>
                <w:color w:val="000000" w:themeColor="text1"/>
                <w:lang w:eastAsia="pl-PL"/>
              </w:rPr>
              <w:t>ia</w:t>
            </w:r>
            <w:r w:rsidR="009207F6" w:rsidRPr="00C515A9">
              <w:rPr>
                <w:rFonts w:ascii="Garamond" w:eastAsia="Times New Roman" w:hAnsi="Garamond"/>
                <w:color w:val="000000" w:themeColor="text1"/>
                <w:lang w:eastAsia="pl-PL"/>
              </w:rPr>
              <w:t xml:space="preserve"> do oznaczania alkoholi i substancji lotnych w materiale biologicznym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C515A9" w:rsidRDefault="00227B9A" w:rsidP="00076065">
            <w:pPr>
              <w:jc w:val="center"/>
              <w:rPr>
                <w:rFonts w:ascii="Garamond" w:eastAsia="Times New Roman" w:hAnsi="Garamond"/>
                <w:color w:val="000000" w:themeColor="text1"/>
                <w:lang w:eastAsia="pl-PL"/>
              </w:rPr>
            </w:pPr>
            <w:r w:rsidRPr="00C515A9">
              <w:rPr>
                <w:rFonts w:ascii="Garamond" w:eastAsia="Times New Roman" w:hAnsi="Garamond"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7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B9A" w:rsidRPr="00A333E8" w:rsidRDefault="00227B9A" w:rsidP="00076065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</w:tbl>
    <w:p w:rsidR="008B3950" w:rsidRPr="00A333E8" w:rsidRDefault="008B3950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A333E8" w:rsidTr="00076065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A333E8" w:rsidRDefault="00227B9A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A333E8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</w:tc>
      </w:tr>
    </w:tbl>
    <w:p w:rsidR="00227B9A" w:rsidRPr="00A333E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A333E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>Nazwa i typ: ...............................................................................</w:t>
      </w:r>
    </w:p>
    <w:p w:rsidR="00227B9A" w:rsidRPr="00A333E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>Producent / kraj produkcji: ........................................................</w:t>
      </w:r>
    </w:p>
    <w:p w:rsidR="00227B9A" w:rsidRPr="00A333E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A333E8">
        <w:rPr>
          <w:rFonts w:ascii="Garamond" w:eastAsia="Lucida Sans Unicode" w:hAnsi="Garamond"/>
          <w:kern w:val="3"/>
          <w:lang w:eastAsia="zh-CN" w:bidi="hi-IN"/>
        </w:rPr>
        <w:t>Rok produkcji (2021):  …....................................................</w:t>
      </w:r>
    </w:p>
    <w:p w:rsidR="008B3950" w:rsidRPr="00A333E8" w:rsidRDefault="008B3950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A333E8" w:rsidTr="00076065">
        <w:tc>
          <w:tcPr>
            <w:tcW w:w="14601" w:type="dxa"/>
            <w:vAlign w:val="center"/>
          </w:tcPr>
          <w:p w:rsidR="00BB5499" w:rsidRPr="00A333E8" w:rsidRDefault="00BB5499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PARAMETRY TECHNICZNE I EKSPLOATACYJNE</w:t>
            </w:r>
          </w:p>
        </w:tc>
      </w:tr>
    </w:tbl>
    <w:p w:rsidR="00BB5499" w:rsidRPr="00A333E8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A333E8" w:rsidTr="00710861">
        <w:tc>
          <w:tcPr>
            <w:tcW w:w="709" w:type="dxa"/>
            <w:vAlign w:val="center"/>
          </w:tcPr>
          <w:bookmarkEnd w:id="0"/>
          <w:p w:rsidR="00227B9A" w:rsidRPr="00A333E8" w:rsidRDefault="00E26854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l.p.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227B9A" w:rsidRPr="00A333E8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27B9A" w:rsidRPr="00A333E8" w:rsidRDefault="00227B9A" w:rsidP="00E26854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27B9A" w:rsidRPr="00A333E8" w:rsidRDefault="00227B9A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27B9A" w:rsidRPr="00A333E8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SPOSÓB OCENY</w:t>
            </w:r>
          </w:p>
        </w:tc>
      </w:tr>
      <w:tr w:rsidR="008B3950" w:rsidRPr="00A333E8" w:rsidTr="000A0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Chromatograf gazowy z dwoma detektorami FID, przystawką </w:t>
            </w:r>
            <w:proofErr w:type="spellStart"/>
            <w:r w:rsidRPr="00A333E8">
              <w:rPr>
                <w:rFonts w:ascii="Garamond" w:hAnsi="Garamond" w:cs="Times New Roman"/>
              </w:rPr>
              <w:t>Headspace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A333E8">
              <w:rPr>
                <w:rFonts w:ascii="Garamond" w:hAnsi="Garamond" w:cs="Times New Roman"/>
              </w:rPr>
              <w:t>autosamplerem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do próbek ciekłych oraz wytwornicą wodoru.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950" w:rsidRPr="00A333E8" w:rsidRDefault="008B3950" w:rsidP="008B39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A333E8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4E1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01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3E8" w:rsidRPr="00A333E8" w:rsidRDefault="00A333E8" w:rsidP="00A333E8">
            <w:pPr>
              <w:spacing w:line="28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</w:rPr>
              <w:t xml:space="preserve"> </w:t>
            </w:r>
            <w:r w:rsidR="009207F6">
              <w:rPr>
                <w:rFonts w:ascii="Garamond" w:hAnsi="Garamond" w:cstheme="minorHAnsi"/>
                <w:b/>
              </w:rPr>
              <w:t>Piec</w:t>
            </w:r>
          </w:p>
        </w:tc>
      </w:tr>
      <w:tr w:rsidR="008B3950" w:rsidRPr="00A333E8" w:rsidTr="00372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Piec z możliwością zainstalowania min. dwóch kolumn kapilarnych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372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pracy w minimum 20-stopniowym gradiencie temperaturowym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372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Zakres temperatur od +4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 xml:space="preserve">C powyżej temp. otoczenia do 450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Szybkość grzania minimum 120</w:t>
            </w:r>
            <w:r w:rsidRPr="00A333E8">
              <w:rPr>
                <w:rFonts w:ascii="Garamond" w:hAnsi="Garamond"/>
                <w:vertAlign w:val="superscript"/>
              </w:rPr>
              <w:t xml:space="preserve"> 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>C/min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372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Dokładność ustawień temperatury 0,1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odczytu aktualnej temp. pieca na panelu sterującym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zainstalowania co najmniej 2 detektorów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rozbudowy o detektor spektrometrii mas (MS)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A333E8" w:rsidRPr="00A333E8" w:rsidTr="0011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01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33E8" w:rsidRPr="00A333E8" w:rsidRDefault="00A333E8" w:rsidP="00A333E8">
            <w:pPr>
              <w:spacing w:line="28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</w:rPr>
              <w:t xml:space="preserve"> </w:t>
            </w:r>
            <w:r w:rsidR="009207F6">
              <w:rPr>
                <w:rFonts w:ascii="Garamond" w:hAnsi="Garamond" w:cstheme="minorHAnsi"/>
                <w:b/>
              </w:rPr>
              <w:t>Dozowniki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Dwa dozowniki typu </w:t>
            </w:r>
            <w:proofErr w:type="spellStart"/>
            <w:r w:rsidRPr="00A333E8">
              <w:rPr>
                <w:rFonts w:ascii="Garamond" w:hAnsi="Garamond" w:cs="Times New Roman"/>
              </w:rPr>
              <w:t>split</w:t>
            </w:r>
            <w:proofErr w:type="spellEnd"/>
            <w:r w:rsidRPr="00A333E8">
              <w:rPr>
                <w:rFonts w:ascii="Garamond" w:hAnsi="Garamond" w:cs="Times New Roman"/>
              </w:rPr>
              <w:t>/</w:t>
            </w:r>
            <w:proofErr w:type="spellStart"/>
            <w:r w:rsidRPr="00A333E8">
              <w:rPr>
                <w:rFonts w:ascii="Garamond" w:hAnsi="Garamond" w:cs="Times New Roman"/>
              </w:rPr>
              <w:t>splitless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Automatyczne ustawienie parametrów przepływu i ciśnienia, w tym stosunku podziału próbki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Możliwość dozowania w trybie </w:t>
            </w:r>
            <w:proofErr w:type="spellStart"/>
            <w:r w:rsidRPr="00A333E8">
              <w:rPr>
                <w:rFonts w:ascii="Garamond" w:hAnsi="Garamond" w:cs="Times New Roman"/>
              </w:rPr>
              <w:t>pulsed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A333E8">
              <w:rPr>
                <w:rFonts w:ascii="Garamond" w:hAnsi="Garamond" w:cs="Times New Roman"/>
              </w:rPr>
              <w:t>split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i </w:t>
            </w:r>
            <w:proofErr w:type="spellStart"/>
            <w:r w:rsidRPr="00A333E8">
              <w:rPr>
                <w:rFonts w:ascii="Garamond" w:hAnsi="Garamond" w:cs="Times New Roman"/>
              </w:rPr>
              <w:t>pulsed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A333E8">
              <w:rPr>
                <w:rFonts w:ascii="Garamond" w:hAnsi="Garamond" w:cs="Times New Roman"/>
              </w:rPr>
              <w:t>splitless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Zakres do min 100 psi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Dokładność ustawień nie gorsza niż 0,001 psi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Maksymalna temperatura pracy dozowników minimum 400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Kontrola ciśnienia gazów na dozownikach i detektorach nie gorsza niż 0,001 psi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odczytu aktualnego ciśnienia na panelu sterującym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Kompensacja zmian ciśnienia atmosferycznego w czasie rzeczywistym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9E0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spacing w:line="28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</w:rPr>
              <w:t xml:space="preserve"> </w:t>
            </w:r>
            <w:r w:rsidRPr="00A333E8">
              <w:rPr>
                <w:rFonts w:ascii="Garamond" w:hAnsi="Garamond" w:cstheme="minorHAnsi"/>
                <w:b/>
              </w:rPr>
              <w:t>Detektor płomieniowo-jonizacyjny (FID) – 2 sztuki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  <w:color w:val="FF0000"/>
              </w:rPr>
            </w:pPr>
            <w:r w:rsidRPr="00A333E8">
              <w:rPr>
                <w:rFonts w:ascii="Garamond" w:hAnsi="Garamond" w:cs="Times New Roman"/>
              </w:rPr>
              <w:t xml:space="preserve">Czułość detektorów &lt;1,2 </w:t>
            </w:r>
            <w:proofErr w:type="spellStart"/>
            <w:r w:rsidRPr="00A333E8">
              <w:rPr>
                <w:rFonts w:ascii="Garamond" w:hAnsi="Garamond" w:cs="Times New Roman"/>
              </w:rPr>
              <w:t>pg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C/s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  <w:color w:val="FF0000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Zakres liniowy co najmniej 10</w:t>
            </w:r>
            <w:r w:rsidRPr="00A333E8">
              <w:rPr>
                <w:rFonts w:ascii="Garamond" w:hAnsi="Garamond" w:cs="Times New Roman"/>
                <w:vertAlign w:val="superscript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544DA9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544DA9" w:rsidRDefault="008B3950" w:rsidP="008B3950">
            <w:pPr>
              <w:rPr>
                <w:rFonts w:ascii="Garamond" w:hAnsi="Garamond" w:cs="Times New Roman"/>
              </w:rPr>
            </w:pPr>
            <w:r w:rsidRPr="00544DA9">
              <w:rPr>
                <w:rFonts w:ascii="Garamond" w:hAnsi="Garamond" w:cs="Times New Roman"/>
              </w:rPr>
              <w:t xml:space="preserve">Częstotliwość próbkowania podczas zbierania danych co najmniej 900 </w:t>
            </w:r>
            <w:proofErr w:type="spellStart"/>
            <w:r w:rsidRPr="00544DA9">
              <w:rPr>
                <w:rFonts w:ascii="Garamond" w:hAnsi="Garamond" w:cs="Times New Roman"/>
              </w:rPr>
              <w:t>Hz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wymagana wartość – 0 pkt, największa 5 pkt, inne proporcjonalnie mniej od największej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544DA9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544DA9" w:rsidRDefault="008B3950" w:rsidP="008B3950">
            <w:pPr>
              <w:rPr>
                <w:rFonts w:ascii="Garamond" w:hAnsi="Garamond" w:cs="Times New Roman"/>
              </w:rPr>
            </w:pPr>
            <w:r w:rsidRPr="00544DA9">
              <w:rPr>
                <w:rFonts w:ascii="Garamond" w:hAnsi="Garamond" w:cs="Times New Roman"/>
              </w:rPr>
              <w:t>Maksymalna temperatura pracy detektorów</w:t>
            </w:r>
            <w:r w:rsidR="00544DA9" w:rsidRPr="00544DA9">
              <w:t xml:space="preserve"> </w:t>
            </w:r>
            <w:r w:rsidR="00544DA9" w:rsidRPr="00544DA9">
              <w:rPr>
                <w:rFonts w:ascii="Garamond" w:hAnsi="Garamond" w:cs="Times New Roman"/>
              </w:rPr>
              <w:t xml:space="preserve">min. </w:t>
            </w:r>
            <w:r w:rsidRPr="00544DA9">
              <w:rPr>
                <w:rFonts w:ascii="Garamond" w:hAnsi="Garamond" w:cs="Times New Roman"/>
              </w:rPr>
              <w:t xml:space="preserve"> 450 </w:t>
            </w:r>
            <w:r w:rsidRPr="00544DA9">
              <w:rPr>
                <w:rFonts w:ascii="Garamond" w:hAnsi="Garamond" w:cs="Times New Roman"/>
                <w:vertAlign w:val="superscript"/>
              </w:rPr>
              <w:t>O</w:t>
            </w:r>
            <w:r w:rsidRPr="00544DA9">
              <w:rPr>
                <w:rFonts w:ascii="Garamond" w:hAnsi="Garamond" w:cs="Times New Roman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544DA9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544DA9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544DA9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544DA9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544DA9">
              <w:rPr>
                <w:rFonts w:ascii="Garamond" w:hAnsi="Garamond" w:cs="Times New Roman"/>
              </w:rPr>
              <w:t>wymagana wartość – 0 pkt, największa 3 pkt, inne proporcjonalnie mniej od największej</w:t>
            </w:r>
          </w:p>
        </w:tc>
      </w:tr>
      <w:tr w:rsidR="009207F6" w:rsidRPr="00A333E8" w:rsidTr="00E8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6" w:rsidRPr="00A333E8" w:rsidRDefault="009207F6" w:rsidP="009207F6">
            <w:pPr>
              <w:spacing w:line="28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/>
              </w:rPr>
              <w:t>Autosampler</w:t>
            </w:r>
            <w:proofErr w:type="spellEnd"/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proofErr w:type="spellStart"/>
            <w:r w:rsidRPr="00A333E8">
              <w:rPr>
                <w:rFonts w:ascii="Garamond" w:hAnsi="Garamond" w:cs="Times New Roman"/>
              </w:rPr>
              <w:t>Autosampler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do ciekłych ekstraktów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Strzykawka </w:t>
            </w:r>
            <w:proofErr w:type="spellStart"/>
            <w:r w:rsidRPr="00A333E8">
              <w:rPr>
                <w:rFonts w:ascii="Garamond" w:hAnsi="Garamond" w:cs="Times New Roman"/>
              </w:rPr>
              <w:t>autosamplera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o pojemności 10 ul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Liczba pozycji </w:t>
            </w:r>
            <w:proofErr w:type="spellStart"/>
            <w:r w:rsidRPr="00A333E8">
              <w:rPr>
                <w:rFonts w:ascii="Garamond" w:hAnsi="Garamond" w:cs="Times New Roman"/>
              </w:rPr>
              <w:t>autosamplera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min. 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Pojemność fiolek </w:t>
            </w:r>
            <w:proofErr w:type="spellStart"/>
            <w:r w:rsidRPr="00A333E8">
              <w:rPr>
                <w:rFonts w:ascii="Garamond" w:hAnsi="Garamond" w:cs="Times New Roman"/>
              </w:rPr>
              <w:t>autosamplera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- 2 ml z możliwością umieszczania insertów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Programowalna szybkość </w:t>
            </w:r>
            <w:proofErr w:type="spellStart"/>
            <w:r w:rsidRPr="00A333E8">
              <w:rPr>
                <w:rFonts w:ascii="Garamond" w:hAnsi="Garamond" w:cs="Times New Roman"/>
              </w:rPr>
              <w:t>nastrzyku</w:t>
            </w:r>
            <w:proofErr w:type="spellEnd"/>
            <w:r w:rsidRPr="00A333E8">
              <w:rPr>
                <w:rFonts w:ascii="Garamond" w:hAnsi="Garamond" w:cs="Times New Roman"/>
              </w:rPr>
              <w:t>, poboru i dozowania próbki w zależności od lepkości próbki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Programowalna głębokość pobierania próbki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8B3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rozbudowy o tacę na dodatkowe min. 150 fiolek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8B3950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0" w:rsidRPr="00A333E8" w:rsidRDefault="008B3950" w:rsidP="008B395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rozbudowy o tacę na dodatkowe min. 150 f</w:t>
            </w:r>
            <w:r w:rsidR="009207F6">
              <w:rPr>
                <w:rFonts w:ascii="Garamond" w:hAnsi="Garamond" w:cs="Times New Roman"/>
              </w:rPr>
              <w:t xml:space="preserve">iolek, </w:t>
            </w:r>
            <w:r w:rsidRPr="00A333E8">
              <w:rPr>
                <w:rFonts w:ascii="Garamond" w:hAnsi="Garamond" w:cs="Times New Roman"/>
              </w:rPr>
              <w:t>z czytnikiem kodów kreskowy</w:t>
            </w:r>
            <w:r w:rsidR="009207F6">
              <w:rPr>
                <w:rFonts w:ascii="Garamond" w:hAnsi="Garamond" w:cs="Times New Roman"/>
              </w:rPr>
              <w:t xml:space="preserve">ch, funkcją mieszania </w:t>
            </w:r>
            <w:r w:rsidRPr="00A333E8">
              <w:rPr>
                <w:rFonts w:ascii="Garamond" w:hAnsi="Garamond" w:cs="Times New Roman"/>
              </w:rPr>
              <w:t>i wygrzewania pojedynczych fiolek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 – 3 pkt</w:t>
            </w:r>
          </w:p>
          <w:p w:rsidR="008B3950" w:rsidRPr="00A333E8" w:rsidRDefault="008B3950" w:rsidP="008B3950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lastRenderedPageBreak/>
              <w:t>nie – 0 pkt</w:t>
            </w:r>
          </w:p>
        </w:tc>
      </w:tr>
      <w:tr w:rsidR="009207F6" w:rsidRPr="00A333E8" w:rsidTr="00DC5D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6" w:rsidRPr="00A333E8" w:rsidRDefault="009207F6" w:rsidP="009207F6">
            <w:pPr>
              <w:spacing w:line="28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</w:rPr>
              <w:lastRenderedPageBreak/>
              <w:t xml:space="preserve"> </w:t>
            </w:r>
            <w:r w:rsidRPr="009207F6">
              <w:rPr>
                <w:rFonts w:ascii="Garamond" w:hAnsi="Garamond" w:cstheme="minorHAnsi"/>
                <w:b/>
              </w:rPr>
              <w:t xml:space="preserve">Przystawka </w:t>
            </w:r>
            <w:proofErr w:type="spellStart"/>
            <w:r w:rsidRPr="009207F6">
              <w:rPr>
                <w:rFonts w:ascii="Garamond" w:hAnsi="Garamond" w:cstheme="minorHAnsi"/>
                <w:b/>
              </w:rPr>
              <w:t>HeadSpace</w:t>
            </w:r>
            <w:proofErr w:type="spellEnd"/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Przystawka </w:t>
            </w:r>
            <w:proofErr w:type="spellStart"/>
            <w:r w:rsidRPr="00A333E8">
              <w:rPr>
                <w:rFonts w:ascii="Garamond" w:hAnsi="Garamond" w:cs="Times New Roman"/>
              </w:rPr>
              <w:t>HeadSpace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do analizy par znad roztworów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7E5A4A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7E5A4A" w:rsidRDefault="007E5A4A" w:rsidP="00A333E8">
            <w:pPr>
              <w:rPr>
                <w:rFonts w:ascii="Garamond" w:hAnsi="Garamond" w:cs="Times New Roman"/>
              </w:rPr>
            </w:pPr>
            <w:r w:rsidRPr="007E5A4A">
              <w:rPr>
                <w:rFonts w:ascii="Garamond" w:hAnsi="Garamond" w:cs="Times New Roman"/>
              </w:rPr>
              <w:t xml:space="preserve">Liczba fiolek – </w:t>
            </w:r>
            <w:r w:rsidR="00A333E8" w:rsidRPr="007E5A4A">
              <w:rPr>
                <w:rFonts w:ascii="Garamond" w:hAnsi="Garamond" w:cs="Times New Roman"/>
              </w:rPr>
              <w:t>min. 12</w:t>
            </w:r>
            <w:bookmarkStart w:id="1" w:name="_GoBack"/>
            <w:bookmarkEnd w:id="1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Pojemność fiolek 10 lub 20 ml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Termostatowana pętla i zawór dozujący próbkę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Elektroniczna kontrola przepływów z dokładnością 0,001 psi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Wyświetlacz pokazujący zadania przystawki w czasie analizy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 – 3 pkt</w:t>
            </w:r>
          </w:p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nie – 0 pkt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kontroli z oprogramowania przez zewnętrzny komputer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Automatyczne przechodzenie w tryb oczekiwania z trybem oszczędzania energii elektrycznej i gazu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Kompatybilność z kolumnami kapilarnymi o średnicach 0,25; 0,32; 0,53 mm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Zakres temperatur pętli i zaworu minimum od 35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 xml:space="preserve">C do 210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Zakres temperatury linii transferowej w min. zakresie od 35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 xml:space="preserve">C do 225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 xml:space="preserve">C z nastawą co 1 </w:t>
            </w:r>
            <w:r w:rsidRPr="00A333E8">
              <w:rPr>
                <w:rFonts w:ascii="Garamond" w:hAnsi="Garamond" w:cs="Times New Roman"/>
                <w:vertAlign w:val="superscript"/>
              </w:rPr>
              <w:t>O</w:t>
            </w:r>
            <w:r w:rsidRPr="00A333E8">
              <w:rPr>
                <w:rFonts w:ascii="Garamond" w:hAnsi="Garamond" w:cs="Times New Roman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wymagany zakres – 0 pkt                      największy – 3 pkt, </w:t>
            </w:r>
            <w:r w:rsidRPr="00A333E8">
              <w:rPr>
                <w:rFonts w:ascii="Garamond" w:hAnsi="Garamond" w:cs="Times New Roman"/>
              </w:rPr>
              <w:lastRenderedPageBreak/>
              <w:t>inne proporcjonalnie mniej od największego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Komunikacja ze stacją roboczą przez 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9207F6" w:rsidRPr="00A333E8" w:rsidTr="0063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6" w:rsidRPr="00A333E8" w:rsidRDefault="009207F6" w:rsidP="009207F6">
            <w:pPr>
              <w:spacing w:line="28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</w:rPr>
              <w:t xml:space="preserve"> </w:t>
            </w:r>
            <w:r w:rsidRPr="009207F6">
              <w:rPr>
                <w:rFonts w:ascii="Garamond" w:hAnsi="Garamond" w:cstheme="minorHAnsi"/>
                <w:b/>
              </w:rPr>
              <w:t>Dodatkowe wyposażenie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dwie kolumny kapilarne do GC</w:t>
            </w:r>
          </w:p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a) do oznaczania lotnych alkoholi i ich metabolitów: metanol, etanol, n-propanol, n-butanol, </w:t>
            </w:r>
            <w:proofErr w:type="spellStart"/>
            <w:r w:rsidRPr="00A333E8">
              <w:rPr>
                <w:rFonts w:ascii="Garamond" w:hAnsi="Garamond" w:cs="Times New Roman"/>
              </w:rPr>
              <w:t>izopropanol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A333E8">
              <w:rPr>
                <w:rFonts w:ascii="Garamond" w:hAnsi="Garamond" w:cs="Times New Roman"/>
              </w:rPr>
              <w:t>izobutanol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, aceton, aldehyd octowy </w:t>
            </w:r>
          </w:p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(odpowiednik DB ALC1 lub DB ALC2 o parametrach 30m, 0,32 mm, 1,2u)</w:t>
            </w:r>
          </w:p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b) do oznaczania glikolu etylenowego i glikolu propylenowego </w:t>
            </w:r>
          </w:p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(odpowiednik DB-WAX 30m, 0,53mm, 1,00u)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proofErr w:type="spellStart"/>
            <w:r w:rsidRPr="00A333E8">
              <w:rPr>
                <w:rFonts w:ascii="Garamond" w:hAnsi="Garamond" w:cs="Times New Roman"/>
              </w:rPr>
              <w:t>Ferrulki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 do kolumn kapilarnych o średnicach 0,25, 0,32 i 0,53 mm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Kominek odprowadzający gorące powietrze z aparatu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Zestaw startowy do uruchomienia GC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Generator wodoru o wydajności co najmniej 200 ml/min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Konsola wyciszająca o wymiarach minimum 3 m (szerokość) x 0,75 m (wysokość) x 1m (głębokość)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2 zasilacze awaryjne zabezpieczające pracę aparatury przy braku zasilania przez co najmniej 6 minut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  <w:p w:rsidR="00790DD2" w:rsidRPr="00A333E8" w:rsidRDefault="00790DD2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9207F6" w:rsidRPr="00A333E8" w:rsidTr="00380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6" w:rsidRPr="00A333E8" w:rsidRDefault="009207F6" w:rsidP="009207F6">
            <w:pPr>
              <w:spacing w:line="28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</w:rPr>
              <w:lastRenderedPageBreak/>
              <w:t xml:space="preserve"> </w:t>
            </w:r>
            <w:r w:rsidRPr="009207F6">
              <w:rPr>
                <w:rFonts w:ascii="Garamond" w:hAnsi="Garamond" w:cstheme="minorHAnsi"/>
                <w:b/>
              </w:rPr>
              <w:t>Zestaw komputerowy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Zestaw komputerowy z oprogramowaniem do sterowania aparatem, obróbki </w:t>
            </w:r>
            <w:proofErr w:type="spellStart"/>
            <w:r w:rsidRPr="00A333E8">
              <w:rPr>
                <w:rFonts w:ascii="Garamond" w:hAnsi="Garamond" w:cs="Times New Roman"/>
              </w:rPr>
              <w:t>chromatogramów</w:t>
            </w:r>
            <w:proofErr w:type="spellEnd"/>
            <w:r w:rsidRPr="00A333E8">
              <w:rPr>
                <w:rFonts w:ascii="Garamond" w:hAnsi="Garamond" w:cs="Times New Roman"/>
              </w:rPr>
              <w:t xml:space="preserve">, do kalibracji i obliczeń stężeń oznaczanych substancji, generowania raportów, archiwizacji danych i wyników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Możliwość zapamiętywania krzywych kalibracji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System operacyjny, pamięć RAM min 16 GB, dysk twardy min 256 GB SSD oraz dysk 1 TB HDD, </w:t>
            </w:r>
            <w:r w:rsidR="009207F6">
              <w:rPr>
                <w:rFonts w:ascii="Garamond" w:hAnsi="Garamond" w:cs="Times New Roman"/>
              </w:rPr>
              <w:t xml:space="preserve">nagrywarka DVD-RW </w:t>
            </w:r>
            <w:r w:rsidRPr="00A333E8">
              <w:rPr>
                <w:rFonts w:ascii="Garamond" w:hAnsi="Garamond" w:cs="Times New Roman"/>
              </w:rPr>
              <w:t>z oprogramowaniem umożliwiającym nagrywanie, zintegrowana karta graficzna i sieciowa, mysz optyczna, klawiatura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Drukarka laserowa czarno-biała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  <w:tr w:rsidR="00A333E8" w:rsidRPr="00A333E8" w:rsidTr="00A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Monitor LCD min. 23”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center"/>
              <w:rPr>
                <w:rFonts w:ascii="Garamond" w:hAnsi="Garamond"/>
              </w:rPr>
            </w:pPr>
            <w:r w:rsidRPr="00A333E8">
              <w:rPr>
                <w:rFonts w:ascii="Garamond" w:hAnsi="Garamond"/>
              </w:rPr>
              <w:t>- - -</w:t>
            </w:r>
          </w:p>
        </w:tc>
      </w:tr>
    </w:tbl>
    <w:p w:rsidR="00227B9A" w:rsidRPr="00A333E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C04BF8" w:rsidRPr="00A333E8" w:rsidRDefault="00C04BF8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790DD2" w:rsidRDefault="00790DD2">
      <w:r>
        <w:br w:type="page"/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A333E8" w:rsidTr="00076065">
        <w:tc>
          <w:tcPr>
            <w:tcW w:w="14601" w:type="dxa"/>
            <w:vAlign w:val="center"/>
          </w:tcPr>
          <w:p w:rsidR="00227B9A" w:rsidRPr="00A333E8" w:rsidRDefault="00382F24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kern w:val="3"/>
                <w:lang w:eastAsia="zh-CN" w:bidi="hi-IN"/>
              </w:rPr>
              <w:lastRenderedPageBreak/>
              <w:br w:type="page"/>
            </w:r>
            <w:r w:rsidR="00227B9A" w:rsidRPr="00A333E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WARUNKI GWARANCJI, SERWISU I SZKOLENIA DLA WSZYSTKICH OFEROWANYCH URZĄDZEŃ</w:t>
            </w:r>
          </w:p>
        </w:tc>
      </w:tr>
    </w:tbl>
    <w:p w:rsidR="00227B9A" w:rsidRPr="00A333E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A333E8" w:rsidTr="00076065">
        <w:tc>
          <w:tcPr>
            <w:tcW w:w="709" w:type="dxa"/>
            <w:vAlign w:val="center"/>
          </w:tcPr>
          <w:p w:rsidR="00227B9A" w:rsidRPr="00A333E8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A333E8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A333E8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A333E8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A333E8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A333E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A333E8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A333E8" w:rsidRDefault="00227B9A" w:rsidP="009207F6">
            <w:pPr>
              <w:suppressAutoHyphens/>
              <w:autoSpaceDN w:val="0"/>
              <w:spacing w:after="0" w:line="288" w:lineRule="auto"/>
              <w:ind w:left="360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A333E8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A333E8">
              <w:rPr>
                <w:rFonts w:ascii="Garamond" w:hAnsi="Garamond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A333E8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A333E8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A333E8" w:rsidRDefault="00227B9A" w:rsidP="00076065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A333E8" w:rsidRPr="00A333E8" w:rsidTr="00B90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snapToGrid w:val="0"/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 xml:space="preserve">Okres pełnej, bez </w:t>
            </w:r>
            <w:proofErr w:type="spellStart"/>
            <w:r w:rsidRPr="00A333E8">
              <w:rPr>
                <w:rFonts w:ascii="Garamond" w:hAnsi="Garamond" w:cs="Times New Roman"/>
                <w:color w:val="000000" w:themeColor="text1"/>
              </w:rPr>
              <w:t>wyłączeń</w:t>
            </w:r>
            <w:proofErr w:type="spellEnd"/>
            <w:r w:rsidRPr="00A333E8">
              <w:rPr>
                <w:rFonts w:ascii="Garamond" w:hAnsi="Garamond" w:cs="Times New Roman"/>
                <w:color w:val="000000" w:themeColor="text1"/>
              </w:rPr>
              <w:t xml:space="preserve"> gwarancji dla wszystkich zaoferowanych elementów.</w:t>
            </w:r>
          </w:p>
          <w:p w:rsidR="00A333E8" w:rsidRPr="00A333E8" w:rsidRDefault="00A333E8" w:rsidP="00A333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9207F6">
              <w:rPr>
                <w:rFonts w:ascii="Garamond" w:eastAsia="Andale Sans UI" w:hAnsi="Garamond" w:cs="Times New Roman"/>
                <w:i/>
                <w:iCs/>
                <w:color w:val="000000" w:themeColor="text1"/>
                <w:kern w:val="1"/>
                <w:lang w:eastAsia="pl-PL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9207F6">
              <w:rPr>
                <w:rFonts w:ascii="Garamond" w:eastAsia="Andale Sans UI" w:hAnsi="Garamond" w:cs="Times New Roman"/>
                <w:i/>
                <w:color w:val="000000" w:themeColor="text1"/>
                <w:kern w:val="1"/>
                <w:lang w:eastAsia="pl-PL"/>
              </w:rPr>
              <w:t>Zamawiający zastrzega, że górną granicą punktacji gwarancji będzie 5 lat</w:t>
            </w:r>
            <w:r w:rsidRPr="00A333E8">
              <w:rPr>
                <w:rFonts w:ascii="Garamond" w:eastAsia="Andale Sans UI" w:hAnsi="Garamond" w:cs="Times New Roman"/>
                <w:color w:val="000000" w:themeColor="text1"/>
                <w:kern w:val="1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A333E8">
              <w:rPr>
                <w:rFonts w:ascii="Garamond" w:eastAsia="Andale Sans UI" w:hAnsi="Garamond" w:cs="Times New Roman"/>
                <w:color w:val="000000" w:themeColor="text1"/>
                <w:kern w:val="1"/>
                <w:lang w:eastAsia="pl-PL"/>
              </w:rPr>
              <w:t>&gt;=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E8" w:rsidRPr="00A333E8" w:rsidRDefault="00A333E8" w:rsidP="00A333E8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A333E8">
              <w:rPr>
                <w:rFonts w:ascii="Garamond" w:eastAsia="Andale Sans UI" w:hAnsi="Garamond" w:cs="Times New Roman"/>
                <w:color w:val="000000" w:themeColor="text1"/>
                <w:kern w:val="1"/>
              </w:rPr>
              <w:t>najdłuższy okres – 5 pkt, wymagane – 0 pkt, inne proporcjonalnie mniej, względem najdłuższego okresu</w:t>
            </w:r>
          </w:p>
        </w:tc>
      </w:tr>
      <w:tr w:rsidR="00A333E8" w:rsidRPr="00A333E8" w:rsidTr="00B90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790DD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 xml:space="preserve">Gwarancja dostępności części zamiennych [liczba lat] – min. 10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790D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E8" w:rsidRPr="00A333E8" w:rsidRDefault="00A333E8" w:rsidP="00790D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790D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 – 3 pkt</w:t>
            </w:r>
          </w:p>
          <w:p w:rsidR="00A333E8" w:rsidRPr="00A333E8" w:rsidRDefault="00A333E8" w:rsidP="00790D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nie – 0 pkt</w:t>
            </w:r>
          </w:p>
        </w:tc>
      </w:tr>
      <w:tr w:rsidR="00A333E8" w:rsidRPr="00A333E8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A333E8" w:rsidRPr="00A333E8" w:rsidRDefault="00A333E8" w:rsidP="009207F6">
            <w:pPr>
              <w:suppressAutoHyphens/>
              <w:autoSpaceDN w:val="0"/>
              <w:spacing w:after="0" w:line="288" w:lineRule="auto"/>
              <w:ind w:left="360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A333E8">
              <w:rPr>
                <w:rFonts w:ascii="Garamond" w:hAnsi="Garamond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</w:tr>
      <w:tr w:rsidR="00A333E8" w:rsidRPr="00A333E8" w:rsidTr="00BB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Przyjazd serwisu po zgłoszeniu awarii w okresie gwarancji do 2 dni (dotyczy dni roboczych rozumianych jako dni od poniedziałku do piątku, z wyjątkiem świąt </w:t>
            </w:r>
            <w:r w:rsidR="00263E27">
              <w:rPr>
                <w:rFonts w:ascii="Garamond" w:hAnsi="Garamond" w:cs="Times New Roman"/>
              </w:rPr>
              <w:t xml:space="preserve">      </w:t>
            </w:r>
            <w:r w:rsidRPr="00A333E8">
              <w:rPr>
                <w:rFonts w:ascii="Garamond" w:hAnsi="Garamond" w:cs="Times New Roman"/>
              </w:rPr>
              <w:t>i dni ustawowo wolnych od pracy, w godzinach od 8.00 do 15.00 )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 – 5 pkt</w:t>
            </w:r>
          </w:p>
          <w:p w:rsidR="00A333E8" w:rsidRPr="00A333E8" w:rsidRDefault="009207F6" w:rsidP="00A333E8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</w:t>
            </w:r>
          </w:p>
        </w:tc>
      </w:tr>
      <w:tr w:rsidR="00A333E8" w:rsidRPr="00A333E8" w:rsidTr="00BB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Czas na naprawę usterki – do 5 dni, a w przypadku potrzeby sprowadzenia części zamiennych do - 10 dni (dotyczy dni roboczych)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A333E8" w:rsidRPr="00A333E8" w:rsidTr="00BB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 wszystkich przeglądów w okresie gwarancji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- - -</w:t>
            </w:r>
          </w:p>
        </w:tc>
      </w:tr>
      <w:tr w:rsidR="00A333E8" w:rsidRPr="00A333E8" w:rsidTr="00BB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Ilość przeglądów okresowych koniecznych do wykonywania po upływie okresu gwarancyjnego w celu zapewnienia sprawnej pracy aparatu  (w okresie 1 roku)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jeden w roku, lub brak wymogu producenta wykonywania przeglądów (obowiązek dokonania wpisu w paszporcie)  – 5 pkt,  więcej niż 1– 0 pkt</w:t>
            </w:r>
          </w:p>
        </w:tc>
      </w:tr>
      <w:tr w:rsidR="00A333E8" w:rsidRPr="00A333E8" w:rsidTr="00BB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A333E8" w:rsidRPr="00A333E8" w:rsidTr="00BB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jc w:val="both"/>
              <w:rPr>
                <w:rFonts w:ascii="Garamond" w:hAnsi="Garamond" w:cs="Times New Roman"/>
              </w:rPr>
            </w:pPr>
            <w:r w:rsidRPr="00A333E8">
              <w:rPr>
                <w:rFonts w:ascii="Garamond" w:hAnsi="Garamond" w:cs="Times New Roman"/>
              </w:rPr>
              <w:t xml:space="preserve">Aparat jest lub będzie pozbawiony, po zakończeniu gwarancji, wszelkich blokad, kodów serwisowych, itp. które po upływie gwarancji utrudniałyby właścicielowi dostęp do opcji serwisowych lub naprawę aparatu przez inny niż Wykonawca </w:t>
            </w:r>
            <w:r w:rsidR="009207F6">
              <w:rPr>
                <w:rFonts w:ascii="Garamond" w:hAnsi="Garamond" w:cs="Times New Roman"/>
              </w:rPr>
              <w:t xml:space="preserve">podmiot </w:t>
            </w:r>
            <w:r w:rsidRPr="00A333E8">
              <w:rPr>
                <w:rFonts w:ascii="Garamond" w:hAnsi="Garamond" w:cs="Times New Roman"/>
              </w:rPr>
              <w:t>w przypadku nie korzystania przez Zamawiającego                                                      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A333E8" w:rsidRPr="00A333E8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9207F6">
            <w:pPr>
              <w:suppressAutoHyphens/>
              <w:autoSpaceDN w:val="0"/>
              <w:spacing w:after="0" w:line="288" w:lineRule="auto"/>
              <w:ind w:left="360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A333E8">
              <w:rPr>
                <w:rFonts w:ascii="Garamond" w:hAnsi="Garamond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A333E8" w:rsidRPr="00A333E8" w:rsidTr="00465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A333E8">
              <w:rPr>
                <w:rFonts w:ascii="Garamond" w:eastAsia="Calibri" w:hAnsi="Garamond" w:cs="Times New Roman"/>
                <w:lang w:eastAsia="ar-SA"/>
              </w:rPr>
              <w:t xml:space="preserve">Szkolenie dla personelu medycznego (czas trwania min. 3 dni robocze) </w:t>
            </w:r>
            <w:r w:rsidR="00263E27">
              <w:rPr>
                <w:rFonts w:ascii="Garamond" w:eastAsia="Calibri" w:hAnsi="Garamond" w:cs="Times New Roman"/>
                <w:lang w:eastAsia="ar-SA"/>
              </w:rPr>
              <w:t xml:space="preserve">                     </w:t>
            </w:r>
            <w:r w:rsidRPr="00A333E8">
              <w:rPr>
                <w:rFonts w:ascii="Garamond" w:eastAsia="Calibri" w:hAnsi="Garamond" w:cs="Times New Roman"/>
                <w:lang w:eastAsia="ar-SA"/>
              </w:rPr>
              <w:t>i technicznego</w:t>
            </w:r>
            <w:r w:rsidR="009207F6">
              <w:rPr>
                <w:rFonts w:ascii="Garamond" w:eastAsia="Calibri" w:hAnsi="Garamond" w:cs="Times New Roman"/>
                <w:lang w:eastAsia="ar-SA"/>
              </w:rPr>
              <w:t>.</w:t>
            </w:r>
            <w:r w:rsidRPr="00A333E8">
              <w:rPr>
                <w:rFonts w:ascii="Garamond" w:eastAsia="Calibri" w:hAnsi="Garamond" w:cs="Times New Roman"/>
                <w:lang w:eastAsia="ar-SA"/>
              </w:rPr>
              <w:t xml:space="preserve"> Dodatkowe szkolenie dla personelu medycznego (min. 2 dni) w przypadku wyrażenia takiej potrzeby przez personel medyczny i techniczny</w:t>
            </w:r>
            <w:r w:rsidR="009207F6">
              <w:rPr>
                <w:rFonts w:ascii="Garamond" w:eastAsia="Calibri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A333E8" w:rsidRPr="00A333E8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9207F6">
            <w:pPr>
              <w:suppressAutoHyphens/>
              <w:autoSpaceDN w:val="0"/>
              <w:spacing w:after="0" w:line="288" w:lineRule="auto"/>
              <w:ind w:left="360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A333E8">
              <w:rPr>
                <w:rFonts w:ascii="Garamond" w:hAnsi="Garamond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A333E8" w:rsidRPr="00A333E8" w:rsidTr="00E3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3E8" w:rsidRPr="00A333E8" w:rsidRDefault="00A333E8" w:rsidP="00A333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Instrukcje obsługi w języku polskim i angielskim w formie elektronicznej i drukowanej (przekazane w momencie dostawy dla każdego egzemplarza</w:t>
            </w:r>
            <w:r w:rsidR="009207F6">
              <w:rPr>
                <w:rFonts w:ascii="Garamond" w:hAnsi="Garamond" w:cs="Times New Roman"/>
                <w:color w:val="000000" w:themeColor="text1"/>
              </w:rPr>
              <w:t>)</w:t>
            </w:r>
            <w:r w:rsidRPr="00A333E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A333E8" w:rsidRPr="00A333E8" w:rsidTr="00E3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E8" w:rsidRPr="00A333E8" w:rsidRDefault="00A333E8" w:rsidP="00A333E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Z urządzeniem wykonawca dostarczy paszport techniczny zawierający co najmniej takie dane jak: nazwa, typ (model), producent, rok produk</w:t>
            </w:r>
            <w:r w:rsidR="009207F6">
              <w:rPr>
                <w:rFonts w:ascii="Garamond" w:hAnsi="Garamond" w:cs="Times New Roman"/>
                <w:color w:val="000000" w:themeColor="text1"/>
              </w:rPr>
              <w:t xml:space="preserve">cji, numer </w:t>
            </w:r>
            <w:r w:rsidR="009207F6">
              <w:rPr>
                <w:rFonts w:ascii="Garamond" w:hAnsi="Garamond" w:cs="Times New Roman"/>
                <w:color w:val="000000" w:themeColor="text1"/>
              </w:rPr>
              <w:lastRenderedPageBreak/>
              <w:t>seryjny (fabryczny).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8" w:rsidRPr="00A333E8" w:rsidRDefault="00A333E8" w:rsidP="00A333E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33E8" w:rsidRPr="00A333E8" w:rsidRDefault="00A333E8" w:rsidP="00A333E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A333E8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</w:tbl>
    <w:p w:rsidR="00227B9A" w:rsidRPr="00A333E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A333E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A333E8" w:rsidRDefault="00227B9A">
      <w:pPr>
        <w:rPr>
          <w:rFonts w:ascii="Garamond" w:hAnsi="Garamond"/>
        </w:rPr>
      </w:pPr>
    </w:p>
    <w:sectPr w:rsidR="00227B9A" w:rsidRPr="00A333E8" w:rsidSect="00227B9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37" w:rsidRDefault="00345537" w:rsidP="000854C5">
      <w:pPr>
        <w:spacing w:after="0" w:line="240" w:lineRule="auto"/>
      </w:pPr>
      <w:r>
        <w:separator/>
      </w:r>
    </w:p>
  </w:endnote>
  <w:endnote w:type="continuationSeparator" w:id="0">
    <w:p w:rsidR="00345537" w:rsidRDefault="00345537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076065" w:rsidRDefault="000760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A4A">
          <w:rPr>
            <w:noProof/>
          </w:rPr>
          <w:t>10</w:t>
        </w:r>
        <w:r>
          <w:fldChar w:fldCharType="end"/>
        </w:r>
      </w:p>
    </w:sdtContent>
  </w:sdt>
  <w:p w:rsidR="00076065" w:rsidRDefault="00076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37" w:rsidRDefault="00345537" w:rsidP="000854C5">
      <w:pPr>
        <w:spacing w:after="0" w:line="240" w:lineRule="auto"/>
      </w:pPr>
      <w:r>
        <w:separator/>
      </w:r>
    </w:p>
  </w:footnote>
  <w:footnote w:type="continuationSeparator" w:id="0">
    <w:p w:rsidR="00345537" w:rsidRDefault="00345537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65" w:rsidRPr="00076065" w:rsidRDefault="00076065" w:rsidP="00076065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 w:rsidRPr="00076065">
      <w:rPr>
        <w:rFonts w:ascii="Garamond" w:eastAsia="Times New Roman" w:hAnsi="Garamond" w:cs="Times New Roman"/>
        <w:color w:val="000000"/>
        <w:lang w:eastAsia="pl-PL" w:bidi="hi-IN"/>
      </w:rPr>
      <w:t>DFP.271.</w:t>
    </w:r>
    <w:r w:rsidR="008B3950">
      <w:rPr>
        <w:rFonts w:ascii="Garamond" w:eastAsia="Times New Roman" w:hAnsi="Garamond" w:cs="Times New Roman"/>
        <w:color w:val="000000"/>
        <w:lang w:eastAsia="pl-PL" w:bidi="hi-IN"/>
      </w:rPr>
      <w:t>46</w:t>
    </w:r>
    <w:r>
      <w:rPr>
        <w:rFonts w:ascii="Garamond" w:eastAsia="Times New Roman" w:hAnsi="Garamond" w:cs="Times New Roman"/>
        <w:color w:val="000000"/>
        <w:lang w:eastAsia="pl-PL" w:bidi="hi-IN"/>
      </w:rPr>
      <w:t>.2021</w:t>
    </w:r>
    <w:r w:rsidRPr="00076065">
      <w:rPr>
        <w:rFonts w:ascii="Garamond" w:eastAsia="Times New Roman" w:hAnsi="Garamond" w:cs="Times New Roman"/>
        <w:color w:val="000000"/>
        <w:lang w:eastAsia="pl-PL" w:bidi="hi-IN"/>
      </w:rPr>
      <w:t>.ADB</w:t>
    </w:r>
    <w:r w:rsidRPr="00076065">
      <w:rPr>
        <w:rFonts w:ascii="Garamond" w:eastAsia="Times New Roman" w:hAnsi="Garamond" w:cs="Times New Roman"/>
        <w:lang w:eastAsia="pl-PL"/>
      </w:rPr>
      <w:tab/>
    </w:r>
  </w:p>
  <w:p w:rsidR="00076065" w:rsidRPr="00076065" w:rsidRDefault="00076065" w:rsidP="00076065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Załącznik nr 1a do SWZ</w:t>
    </w:r>
  </w:p>
  <w:p w:rsidR="00076065" w:rsidRPr="00076065" w:rsidRDefault="00076065" w:rsidP="00076065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076065">
      <w:rPr>
        <w:rFonts w:ascii="Garamond" w:eastAsia="Times New Roman" w:hAnsi="Garamond" w:cs="Times New Roman"/>
        <w:lang w:eastAsia="pl-PL"/>
      </w:rPr>
      <w:tab/>
      <w:t>Załącznik nr …… do umowy</w:t>
    </w:r>
  </w:p>
  <w:p w:rsidR="00076065" w:rsidRPr="00E24207" w:rsidRDefault="00076065" w:rsidP="00E2420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b/>
        <w:kern w:val="2"/>
        <w:sz w:val="24"/>
        <w:szCs w:val="21"/>
        <w:lang w:eastAsia="hi-IN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33C2206A"/>
    <w:lvl w:ilvl="0" w:tplc="D52A2CE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538E"/>
    <w:multiLevelType w:val="hybridMultilevel"/>
    <w:tmpl w:val="6E7AB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3E2BA8"/>
    <w:multiLevelType w:val="hybridMultilevel"/>
    <w:tmpl w:val="2D928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64601"/>
    <w:rsid w:val="00076065"/>
    <w:rsid w:val="000854C5"/>
    <w:rsid w:val="00097E6F"/>
    <w:rsid w:val="000A3D96"/>
    <w:rsid w:val="000C0703"/>
    <w:rsid w:val="000D05B7"/>
    <w:rsid w:val="000F15DB"/>
    <w:rsid w:val="0013417C"/>
    <w:rsid w:val="00140E2A"/>
    <w:rsid w:val="001B5917"/>
    <w:rsid w:val="001B714E"/>
    <w:rsid w:val="001E7CFE"/>
    <w:rsid w:val="002060A8"/>
    <w:rsid w:val="002106FC"/>
    <w:rsid w:val="00227B9A"/>
    <w:rsid w:val="00232A23"/>
    <w:rsid w:val="00240C7D"/>
    <w:rsid w:val="00263E27"/>
    <w:rsid w:val="00342E39"/>
    <w:rsid w:val="00345537"/>
    <w:rsid w:val="003665FB"/>
    <w:rsid w:val="00382F24"/>
    <w:rsid w:val="00456138"/>
    <w:rsid w:val="004B617C"/>
    <w:rsid w:val="00544DA9"/>
    <w:rsid w:val="00561A8D"/>
    <w:rsid w:val="005A2967"/>
    <w:rsid w:val="005E622A"/>
    <w:rsid w:val="005F4424"/>
    <w:rsid w:val="0066741C"/>
    <w:rsid w:val="006E5948"/>
    <w:rsid w:val="006F491C"/>
    <w:rsid w:val="00710861"/>
    <w:rsid w:val="00783278"/>
    <w:rsid w:val="00790DD2"/>
    <w:rsid w:val="007C3040"/>
    <w:rsid w:val="007E5A4A"/>
    <w:rsid w:val="00836819"/>
    <w:rsid w:val="008B3950"/>
    <w:rsid w:val="008D5971"/>
    <w:rsid w:val="008E42C7"/>
    <w:rsid w:val="009207F6"/>
    <w:rsid w:val="00A05168"/>
    <w:rsid w:val="00A12E22"/>
    <w:rsid w:val="00A333E8"/>
    <w:rsid w:val="00A71D3D"/>
    <w:rsid w:val="00AC51AF"/>
    <w:rsid w:val="00AF44B4"/>
    <w:rsid w:val="00BB15CF"/>
    <w:rsid w:val="00BB5499"/>
    <w:rsid w:val="00C01050"/>
    <w:rsid w:val="00C04BF8"/>
    <w:rsid w:val="00C32CA4"/>
    <w:rsid w:val="00C37754"/>
    <w:rsid w:val="00C4164A"/>
    <w:rsid w:val="00C41CE2"/>
    <w:rsid w:val="00C515A9"/>
    <w:rsid w:val="00C55875"/>
    <w:rsid w:val="00CD4A66"/>
    <w:rsid w:val="00CE4242"/>
    <w:rsid w:val="00CE53AA"/>
    <w:rsid w:val="00CF0A60"/>
    <w:rsid w:val="00D02A55"/>
    <w:rsid w:val="00D07DA4"/>
    <w:rsid w:val="00D60136"/>
    <w:rsid w:val="00E24207"/>
    <w:rsid w:val="00E26854"/>
    <w:rsid w:val="00E26E98"/>
    <w:rsid w:val="00E447F9"/>
    <w:rsid w:val="00E57EF8"/>
    <w:rsid w:val="00EC6D5C"/>
    <w:rsid w:val="00F031D4"/>
    <w:rsid w:val="00F35AD7"/>
    <w:rsid w:val="00F41F4C"/>
    <w:rsid w:val="00F53C7C"/>
    <w:rsid w:val="00F70AE1"/>
    <w:rsid w:val="00F95FC1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13BC8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8ED97-59DF-4DD5-A6CB-4EF93E8E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1431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Burszczan</cp:lastModifiedBy>
  <cp:revision>8</cp:revision>
  <cp:lastPrinted>2021-04-27T08:41:00Z</cp:lastPrinted>
  <dcterms:created xsi:type="dcterms:W3CDTF">2021-05-21T06:40:00Z</dcterms:created>
  <dcterms:modified xsi:type="dcterms:W3CDTF">2021-05-25T07:12:00Z</dcterms:modified>
</cp:coreProperties>
</file>