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550" w:rsidRPr="00E26550" w:rsidRDefault="00E26550" w:rsidP="00F645A9">
      <w:pPr>
        <w:keepNext/>
        <w:jc w:val="center"/>
        <w:rPr>
          <w:rFonts w:ascii="Garamond" w:eastAsia="Calibri" w:hAnsi="Garamond"/>
          <w:b/>
          <w:sz w:val="22"/>
          <w:szCs w:val="22"/>
        </w:rPr>
      </w:pPr>
    </w:p>
    <w:p w:rsidR="00E26550" w:rsidRPr="00E26550" w:rsidRDefault="00E26550" w:rsidP="00E26550">
      <w:pPr>
        <w:keepNext/>
        <w:rPr>
          <w:rFonts w:ascii="Garamond" w:eastAsia="Calibri" w:hAnsi="Garamond"/>
          <w:b/>
          <w:sz w:val="22"/>
          <w:szCs w:val="22"/>
        </w:rPr>
      </w:pPr>
      <w:r w:rsidRPr="00E26550">
        <w:rPr>
          <w:rFonts w:ascii="Garamond" w:eastAsia="Calibri" w:hAnsi="Garamond"/>
          <w:b/>
          <w:sz w:val="22"/>
          <w:szCs w:val="22"/>
        </w:rPr>
        <w:t>Część 1</w:t>
      </w:r>
    </w:p>
    <w:p w:rsidR="00F645A9" w:rsidRPr="00037114" w:rsidRDefault="00F645A9" w:rsidP="00F645A9">
      <w:pPr>
        <w:keepNext/>
        <w:jc w:val="center"/>
        <w:rPr>
          <w:rFonts w:ascii="Garamond" w:eastAsia="Calibri" w:hAnsi="Garamond"/>
          <w:sz w:val="22"/>
          <w:szCs w:val="22"/>
        </w:rPr>
      </w:pPr>
      <w:r w:rsidRPr="00037114">
        <w:rPr>
          <w:rFonts w:ascii="Garamond" w:eastAsia="Calibri" w:hAnsi="Garamond"/>
          <w:sz w:val="22"/>
          <w:szCs w:val="22"/>
        </w:rPr>
        <w:t>Dostawa podłoży do automatycznego monitorowania i wykrywania bakterii oraz grzybów we krwi, innych fizjologicznie jałowych płynach ustrojowych, wybranych produktach krwiopochodnych oraz wybranych produktach farmaceutycznych wraz z dzierżawą aparatu monitorującego butelki z podłożami.</w:t>
      </w:r>
    </w:p>
    <w:p w:rsidR="00135EA3" w:rsidRPr="00037114" w:rsidRDefault="00135EA3" w:rsidP="003814FD">
      <w:pPr>
        <w:keepNext/>
        <w:jc w:val="center"/>
        <w:rPr>
          <w:rFonts w:ascii="Garamond" w:eastAsia="Calibri" w:hAnsi="Garamond"/>
          <w:sz w:val="22"/>
          <w:szCs w:val="22"/>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8364"/>
        <w:gridCol w:w="1275"/>
      </w:tblGrid>
      <w:tr w:rsidR="00BB590B" w:rsidRPr="00E26E06" w:rsidTr="00E26E06">
        <w:trPr>
          <w:cantSplit/>
        </w:trPr>
        <w:tc>
          <w:tcPr>
            <w:tcW w:w="567" w:type="dxa"/>
            <w:tcBorders>
              <w:top w:val="single" w:sz="4" w:space="0" w:color="auto"/>
              <w:left w:val="single" w:sz="4" w:space="0" w:color="auto"/>
              <w:bottom w:val="single" w:sz="4" w:space="0" w:color="auto"/>
              <w:right w:val="single" w:sz="4" w:space="0" w:color="auto"/>
            </w:tcBorders>
            <w:vAlign w:val="center"/>
          </w:tcPr>
          <w:p w:rsidR="00BB590B" w:rsidRPr="00E26E06" w:rsidRDefault="00BB590B" w:rsidP="00493975">
            <w:pPr>
              <w:jc w:val="center"/>
              <w:rPr>
                <w:rFonts w:ascii="Garamond" w:hAnsi="Garamond"/>
                <w:snapToGrid w:val="0"/>
                <w:sz w:val="20"/>
                <w:szCs w:val="22"/>
              </w:rPr>
            </w:pPr>
            <w:r w:rsidRPr="00E26E06">
              <w:rPr>
                <w:rFonts w:ascii="Garamond" w:hAnsi="Garamond"/>
                <w:snapToGrid w:val="0"/>
                <w:sz w:val="20"/>
                <w:szCs w:val="22"/>
              </w:rPr>
              <w:t>Lp.</w:t>
            </w:r>
          </w:p>
        </w:tc>
        <w:tc>
          <w:tcPr>
            <w:tcW w:w="8364" w:type="dxa"/>
            <w:tcBorders>
              <w:top w:val="single" w:sz="4" w:space="0" w:color="auto"/>
              <w:left w:val="single" w:sz="4" w:space="0" w:color="auto"/>
              <w:bottom w:val="single" w:sz="4" w:space="0" w:color="auto"/>
              <w:right w:val="single" w:sz="4" w:space="0" w:color="auto"/>
            </w:tcBorders>
            <w:vAlign w:val="center"/>
          </w:tcPr>
          <w:p w:rsidR="00BB590B" w:rsidRPr="00E26550" w:rsidRDefault="00BB590B" w:rsidP="00493975">
            <w:pPr>
              <w:keepNext/>
              <w:spacing w:before="240" w:after="60"/>
              <w:jc w:val="center"/>
              <w:outlineLvl w:val="2"/>
              <w:rPr>
                <w:rFonts w:ascii="Garamond" w:hAnsi="Garamond" w:cs="Arial"/>
                <w:b/>
                <w:bCs/>
                <w:sz w:val="22"/>
                <w:szCs w:val="22"/>
              </w:rPr>
            </w:pPr>
            <w:r w:rsidRPr="00E26550">
              <w:rPr>
                <w:rFonts w:ascii="Garamond" w:hAnsi="Garamond" w:cs="Arial"/>
                <w:b/>
                <w:bCs/>
                <w:sz w:val="22"/>
                <w:szCs w:val="22"/>
              </w:rPr>
              <w:t>Wymagania graniczne</w:t>
            </w:r>
          </w:p>
        </w:tc>
        <w:tc>
          <w:tcPr>
            <w:tcW w:w="1275" w:type="dxa"/>
            <w:tcBorders>
              <w:top w:val="single" w:sz="4" w:space="0" w:color="auto"/>
              <w:left w:val="single" w:sz="4" w:space="0" w:color="auto"/>
              <w:bottom w:val="single" w:sz="4" w:space="0" w:color="auto"/>
              <w:right w:val="single" w:sz="4" w:space="0" w:color="auto"/>
            </w:tcBorders>
            <w:vAlign w:val="center"/>
          </w:tcPr>
          <w:p w:rsidR="00BB590B" w:rsidRPr="00E26E06" w:rsidRDefault="00BB590B" w:rsidP="00493975">
            <w:pPr>
              <w:jc w:val="center"/>
              <w:rPr>
                <w:rFonts w:ascii="Garamond" w:hAnsi="Garamond"/>
                <w:sz w:val="20"/>
                <w:szCs w:val="22"/>
              </w:rPr>
            </w:pPr>
            <w:r w:rsidRPr="00E26E06">
              <w:rPr>
                <w:rFonts w:ascii="Garamond" w:hAnsi="Garamond"/>
                <w:sz w:val="20"/>
                <w:szCs w:val="22"/>
              </w:rPr>
              <w:t>Potwierdzenie spełnienia</w:t>
            </w:r>
          </w:p>
          <w:p w:rsidR="00BB590B" w:rsidRPr="00E26E06" w:rsidRDefault="00BB590B" w:rsidP="00493975">
            <w:pPr>
              <w:jc w:val="center"/>
              <w:rPr>
                <w:rFonts w:ascii="Garamond" w:hAnsi="Garamond"/>
                <w:sz w:val="20"/>
                <w:szCs w:val="22"/>
              </w:rPr>
            </w:pPr>
            <w:r w:rsidRPr="00E26E06">
              <w:rPr>
                <w:rFonts w:ascii="Garamond" w:hAnsi="Garamond"/>
                <w:sz w:val="20"/>
                <w:szCs w:val="22"/>
              </w:rPr>
              <w:t>(należy wpisać</w:t>
            </w:r>
          </w:p>
          <w:p w:rsidR="00BB590B" w:rsidRPr="00E26E06" w:rsidRDefault="00BB590B" w:rsidP="00493975">
            <w:pPr>
              <w:jc w:val="center"/>
              <w:rPr>
                <w:rFonts w:ascii="Garamond" w:hAnsi="Garamond"/>
                <w:b/>
                <w:sz w:val="20"/>
                <w:szCs w:val="22"/>
              </w:rPr>
            </w:pPr>
            <w:r w:rsidRPr="00E26E06">
              <w:rPr>
                <w:rFonts w:ascii="Garamond" w:hAnsi="Garamond"/>
                <w:sz w:val="20"/>
                <w:szCs w:val="22"/>
              </w:rPr>
              <w:t>Tak lub Nie)*</w:t>
            </w:r>
          </w:p>
        </w:tc>
      </w:tr>
      <w:tr w:rsidR="00C82987" w:rsidRPr="00037114"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C82987" w:rsidRPr="00037114" w:rsidRDefault="00C82987" w:rsidP="00493975">
            <w:pPr>
              <w:jc w:val="center"/>
              <w:rPr>
                <w:rFonts w:ascii="Garamond" w:eastAsia="Calibri" w:hAnsi="Garamond"/>
                <w:sz w:val="22"/>
                <w:szCs w:val="22"/>
              </w:rPr>
            </w:pPr>
          </w:p>
        </w:tc>
        <w:tc>
          <w:tcPr>
            <w:tcW w:w="8364" w:type="dxa"/>
            <w:tcBorders>
              <w:top w:val="single" w:sz="4" w:space="0" w:color="auto"/>
              <w:left w:val="single" w:sz="4" w:space="0" w:color="auto"/>
              <w:bottom w:val="single" w:sz="4" w:space="0" w:color="auto"/>
              <w:right w:val="single" w:sz="4" w:space="0" w:color="auto"/>
            </w:tcBorders>
            <w:vAlign w:val="center"/>
          </w:tcPr>
          <w:p w:rsidR="00C82987" w:rsidRPr="00037114" w:rsidRDefault="00630709" w:rsidP="00493975">
            <w:pPr>
              <w:pStyle w:val="Nagwek3"/>
              <w:spacing w:before="120" w:after="120"/>
              <w:jc w:val="center"/>
              <w:rPr>
                <w:rFonts w:ascii="Garamond" w:hAnsi="Garamond"/>
                <w:b w:val="0"/>
                <w:color w:val="auto"/>
                <w:sz w:val="22"/>
                <w:szCs w:val="22"/>
                <w:u w:val="single"/>
              </w:rPr>
            </w:pPr>
            <w:r w:rsidRPr="00037114">
              <w:rPr>
                <w:rFonts w:ascii="Garamond" w:hAnsi="Garamond"/>
                <w:b w:val="0"/>
                <w:color w:val="auto"/>
                <w:sz w:val="22"/>
                <w:szCs w:val="22"/>
                <w:u w:val="single"/>
              </w:rPr>
              <w:t>Rodzaje wymaganych</w:t>
            </w:r>
            <w:r w:rsidR="00C82987" w:rsidRPr="00037114">
              <w:rPr>
                <w:rFonts w:ascii="Garamond" w:hAnsi="Garamond"/>
                <w:b w:val="0"/>
                <w:color w:val="auto"/>
                <w:sz w:val="22"/>
                <w:szCs w:val="22"/>
                <w:u w:val="single"/>
              </w:rPr>
              <w:t xml:space="preserve"> butelek z podłożami do posiewu:</w:t>
            </w:r>
          </w:p>
        </w:tc>
        <w:tc>
          <w:tcPr>
            <w:tcW w:w="1275" w:type="dxa"/>
            <w:tcBorders>
              <w:top w:val="single" w:sz="4" w:space="0" w:color="auto"/>
              <w:left w:val="single" w:sz="4" w:space="0" w:color="auto"/>
              <w:bottom w:val="single" w:sz="4" w:space="0" w:color="auto"/>
              <w:right w:val="single" w:sz="4" w:space="0" w:color="auto"/>
            </w:tcBorders>
            <w:vAlign w:val="center"/>
          </w:tcPr>
          <w:p w:rsidR="00C82987" w:rsidRPr="00037114" w:rsidRDefault="00C82987" w:rsidP="00493975">
            <w:pPr>
              <w:jc w:val="center"/>
              <w:rPr>
                <w:rFonts w:ascii="Garamond" w:eastAsia="Calibri" w:hAnsi="Garamond"/>
                <w:sz w:val="22"/>
                <w:szCs w:val="22"/>
              </w:rPr>
            </w:pPr>
          </w:p>
        </w:tc>
      </w:tr>
      <w:tr w:rsidR="006B4A31"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6B4A31" w:rsidRPr="00E26E06" w:rsidRDefault="00E26E06" w:rsidP="00493975">
            <w:pPr>
              <w:suppressAutoHyphens/>
              <w:jc w:val="center"/>
              <w:rPr>
                <w:rFonts w:ascii="Garamond" w:hAnsi="Garamond"/>
                <w:sz w:val="22"/>
                <w:szCs w:val="22"/>
              </w:rPr>
            </w:pPr>
            <w:r>
              <w:rPr>
                <w:rFonts w:ascii="Garamond" w:hAnsi="Garamond"/>
                <w:sz w:val="22"/>
                <w:szCs w:val="22"/>
              </w:rPr>
              <w:t>1</w:t>
            </w:r>
          </w:p>
        </w:tc>
        <w:tc>
          <w:tcPr>
            <w:tcW w:w="8364" w:type="dxa"/>
            <w:tcBorders>
              <w:top w:val="single" w:sz="4" w:space="0" w:color="auto"/>
              <w:left w:val="single" w:sz="4" w:space="0" w:color="auto"/>
              <w:bottom w:val="single" w:sz="4" w:space="0" w:color="auto"/>
              <w:right w:val="single" w:sz="4" w:space="0" w:color="auto"/>
            </w:tcBorders>
            <w:vAlign w:val="center"/>
          </w:tcPr>
          <w:p w:rsidR="006B4A31" w:rsidRPr="00E26E06" w:rsidRDefault="006B4A31" w:rsidP="00BA756E">
            <w:pPr>
              <w:autoSpaceDE w:val="0"/>
              <w:autoSpaceDN w:val="0"/>
              <w:adjustRightInd w:val="0"/>
              <w:rPr>
                <w:rFonts w:ascii="Garamond" w:hAnsi="Garamond"/>
                <w:sz w:val="22"/>
                <w:szCs w:val="22"/>
              </w:rPr>
            </w:pPr>
            <w:r w:rsidRPr="00E26E06">
              <w:rPr>
                <w:rFonts w:ascii="Garamond" w:hAnsi="Garamond"/>
                <w:sz w:val="22"/>
                <w:szCs w:val="22"/>
              </w:rPr>
              <w:t xml:space="preserve">Podłoże do </w:t>
            </w:r>
            <w:r w:rsidR="007772AE" w:rsidRPr="00E26E06">
              <w:rPr>
                <w:rFonts w:ascii="Garamond" w:hAnsi="Garamond"/>
                <w:sz w:val="22"/>
                <w:szCs w:val="22"/>
              </w:rPr>
              <w:t>wykrywania drobnoustrojów tlenowych</w:t>
            </w:r>
            <w:r w:rsidR="00AE5FB2" w:rsidRPr="00E26E06">
              <w:rPr>
                <w:rFonts w:ascii="Garamond" w:hAnsi="Garamond"/>
                <w:sz w:val="22"/>
                <w:szCs w:val="22"/>
              </w:rPr>
              <w:t xml:space="preserve"> </w:t>
            </w:r>
            <w:r w:rsidR="007772AE" w:rsidRPr="00E26E06">
              <w:rPr>
                <w:rFonts w:ascii="Garamond" w:hAnsi="Garamond"/>
                <w:sz w:val="22"/>
                <w:szCs w:val="22"/>
              </w:rPr>
              <w:t>(bakterie i drożdże) we krwi oraz innych</w:t>
            </w:r>
            <w:r w:rsidR="00AE5FB2" w:rsidRPr="00E26E06">
              <w:rPr>
                <w:rFonts w:ascii="Garamond" w:hAnsi="Garamond"/>
                <w:sz w:val="22"/>
                <w:szCs w:val="22"/>
              </w:rPr>
              <w:t xml:space="preserve"> </w:t>
            </w:r>
            <w:r w:rsidR="00EB2813" w:rsidRPr="00E26E06">
              <w:rPr>
                <w:rFonts w:ascii="Garamond" w:hAnsi="Garamond"/>
                <w:sz w:val="22"/>
                <w:szCs w:val="22"/>
              </w:rPr>
              <w:t xml:space="preserve">fizjologicznie </w:t>
            </w:r>
            <w:r w:rsidR="007772AE" w:rsidRPr="00E26E06">
              <w:rPr>
                <w:rFonts w:ascii="Garamond" w:hAnsi="Garamond"/>
                <w:sz w:val="22"/>
                <w:szCs w:val="22"/>
              </w:rPr>
              <w:t>jałowych płynach ustrojowych</w:t>
            </w:r>
            <w:r w:rsidR="00A45DA7" w:rsidRPr="00E26E06">
              <w:rPr>
                <w:rFonts w:ascii="Garamond" w:hAnsi="Garamond"/>
                <w:sz w:val="22"/>
                <w:szCs w:val="22"/>
              </w:rPr>
              <w:t xml:space="preserve">, </w:t>
            </w:r>
            <w:r w:rsidRPr="00E26E06">
              <w:rPr>
                <w:rFonts w:ascii="Garamond" w:hAnsi="Garamond"/>
                <w:sz w:val="22"/>
                <w:szCs w:val="22"/>
              </w:rPr>
              <w:t xml:space="preserve">redukujące inhibicję </w:t>
            </w:r>
            <w:r w:rsidR="00CB2532" w:rsidRPr="00E26E06">
              <w:rPr>
                <w:rFonts w:ascii="Garamond" w:hAnsi="Garamond"/>
                <w:sz w:val="22"/>
                <w:szCs w:val="22"/>
              </w:rPr>
              <w:t xml:space="preserve">namnażania </w:t>
            </w:r>
            <w:r w:rsidRPr="00E26E06">
              <w:rPr>
                <w:rFonts w:ascii="Garamond" w:hAnsi="Garamond"/>
                <w:sz w:val="22"/>
                <w:szCs w:val="22"/>
              </w:rPr>
              <w:t>drobnoustrojów przez antybiotyk</w:t>
            </w:r>
            <w:r w:rsidR="00493975"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6B4A31" w:rsidRPr="00E26E06" w:rsidRDefault="006B4A31" w:rsidP="00493975">
            <w:pPr>
              <w:suppressAutoHyphens/>
              <w:jc w:val="center"/>
              <w:rPr>
                <w:rFonts w:ascii="Garamond" w:hAnsi="Garamond" w:cs="Arial Narrow"/>
                <w:sz w:val="22"/>
                <w:szCs w:val="22"/>
              </w:rPr>
            </w:pPr>
          </w:p>
        </w:tc>
      </w:tr>
      <w:tr w:rsidR="006B4A31"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6B4A31" w:rsidRPr="00E26E06" w:rsidRDefault="00E26E06" w:rsidP="00493975">
            <w:pPr>
              <w:jc w:val="center"/>
              <w:rPr>
                <w:rFonts w:ascii="Garamond" w:hAnsi="Garamond"/>
                <w:sz w:val="22"/>
                <w:szCs w:val="22"/>
              </w:rPr>
            </w:pPr>
            <w:r>
              <w:rPr>
                <w:rFonts w:ascii="Garamond" w:hAnsi="Garamond"/>
                <w:sz w:val="22"/>
                <w:szCs w:val="22"/>
              </w:rPr>
              <w:t>2</w:t>
            </w:r>
          </w:p>
        </w:tc>
        <w:tc>
          <w:tcPr>
            <w:tcW w:w="8364" w:type="dxa"/>
            <w:tcBorders>
              <w:top w:val="single" w:sz="4" w:space="0" w:color="auto"/>
              <w:left w:val="single" w:sz="4" w:space="0" w:color="auto"/>
              <w:bottom w:val="single" w:sz="4" w:space="0" w:color="auto"/>
              <w:right w:val="single" w:sz="4" w:space="0" w:color="auto"/>
            </w:tcBorders>
            <w:vAlign w:val="center"/>
          </w:tcPr>
          <w:p w:rsidR="006B4A31" w:rsidRPr="00E26E06" w:rsidRDefault="006B4A31" w:rsidP="00AE5FB2">
            <w:pPr>
              <w:autoSpaceDE w:val="0"/>
              <w:autoSpaceDN w:val="0"/>
              <w:adjustRightInd w:val="0"/>
              <w:rPr>
                <w:rFonts w:ascii="Garamond" w:hAnsi="Garamond"/>
                <w:sz w:val="22"/>
                <w:szCs w:val="22"/>
              </w:rPr>
            </w:pPr>
            <w:r w:rsidRPr="00E26E06">
              <w:rPr>
                <w:rFonts w:ascii="Garamond" w:hAnsi="Garamond"/>
                <w:sz w:val="22"/>
                <w:szCs w:val="22"/>
              </w:rPr>
              <w:t xml:space="preserve">Podłoże do </w:t>
            </w:r>
            <w:r w:rsidR="007772AE" w:rsidRPr="00E26E06">
              <w:rPr>
                <w:rFonts w:ascii="Garamond" w:hAnsi="Garamond"/>
                <w:sz w:val="22"/>
                <w:szCs w:val="22"/>
              </w:rPr>
              <w:t>wykrywania drobnoustrojów beztlenowych</w:t>
            </w:r>
            <w:r w:rsidR="00AE5FB2" w:rsidRPr="00E26E06">
              <w:rPr>
                <w:rFonts w:ascii="Garamond" w:hAnsi="Garamond"/>
                <w:sz w:val="22"/>
                <w:szCs w:val="22"/>
              </w:rPr>
              <w:t xml:space="preserve"> </w:t>
            </w:r>
            <w:r w:rsidR="007772AE" w:rsidRPr="00E26E06">
              <w:rPr>
                <w:rFonts w:ascii="Garamond" w:hAnsi="Garamond"/>
                <w:sz w:val="22"/>
                <w:szCs w:val="22"/>
              </w:rPr>
              <w:t xml:space="preserve">i względnie beztlenowych we krwi oraz innych </w:t>
            </w:r>
            <w:r w:rsidR="00EB2813" w:rsidRPr="00E26E06">
              <w:rPr>
                <w:rFonts w:ascii="Garamond" w:hAnsi="Garamond"/>
                <w:sz w:val="22"/>
                <w:szCs w:val="22"/>
              </w:rPr>
              <w:t xml:space="preserve">fizjologicznie </w:t>
            </w:r>
            <w:r w:rsidR="007772AE" w:rsidRPr="00E26E06">
              <w:rPr>
                <w:rFonts w:ascii="Garamond" w:hAnsi="Garamond"/>
                <w:sz w:val="22"/>
                <w:szCs w:val="22"/>
              </w:rPr>
              <w:t>jałowych</w:t>
            </w:r>
            <w:r w:rsidR="00AE5FB2" w:rsidRPr="00E26E06">
              <w:rPr>
                <w:rFonts w:ascii="Garamond" w:hAnsi="Garamond"/>
                <w:sz w:val="22"/>
                <w:szCs w:val="22"/>
              </w:rPr>
              <w:t xml:space="preserve"> </w:t>
            </w:r>
            <w:r w:rsidR="007772AE" w:rsidRPr="00E26E06">
              <w:rPr>
                <w:rFonts w:ascii="Garamond" w:hAnsi="Garamond"/>
                <w:sz w:val="22"/>
                <w:szCs w:val="22"/>
              </w:rPr>
              <w:t>płynach ustrojowych</w:t>
            </w:r>
            <w:r w:rsidR="00A45DA7" w:rsidRPr="00E26E06">
              <w:rPr>
                <w:rFonts w:ascii="Garamond" w:hAnsi="Garamond"/>
                <w:sz w:val="22"/>
                <w:szCs w:val="22"/>
              </w:rPr>
              <w:t xml:space="preserve">, </w:t>
            </w:r>
            <w:r w:rsidRPr="00E26E06">
              <w:rPr>
                <w:rFonts w:ascii="Garamond" w:hAnsi="Garamond"/>
                <w:sz w:val="22"/>
                <w:szCs w:val="22"/>
              </w:rPr>
              <w:t xml:space="preserve">redukujące inhibicję </w:t>
            </w:r>
            <w:r w:rsidR="00CB2532" w:rsidRPr="00E26E06">
              <w:rPr>
                <w:rFonts w:ascii="Garamond" w:hAnsi="Garamond"/>
                <w:sz w:val="22"/>
                <w:szCs w:val="22"/>
              </w:rPr>
              <w:t xml:space="preserve">namnażania </w:t>
            </w:r>
            <w:r w:rsidRPr="00E26E06">
              <w:rPr>
                <w:rFonts w:ascii="Garamond" w:hAnsi="Garamond"/>
                <w:sz w:val="22"/>
                <w:szCs w:val="22"/>
              </w:rPr>
              <w:t>drobnoustrojów przez antybiotyk</w:t>
            </w:r>
            <w:r w:rsidR="00493975"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6B4A31" w:rsidRPr="00E26E06" w:rsidRDefault="006B4A31" w:rsidP="00493975">
            <w:pPr>
              <w:jc w:val="center"/>
              <w:rPr>
                <w:rFonts w:ascii="Garamond" w:hAnsi="Garamond"/>
                <w:sz w:val="22"/>
                <w:szCs w:val="22"/>
              </w:rPr>
            </w:pPr>
          </w:p>
        </w:tc>
      </w:tr>
      <w:tr w:rsidR="006B4A31"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6B4A31" w:rsidRPr="00E26E06" w:rsidRDefault="00E26E06" w:rsidP="00493975">
            <w:pPr>
              <w:suppressAutoHyphens/>
              <w:jc w:val="center"/>
              <w:rPr>
                <w:rFonts w:ascii="Garamond" w:hAnsi="Garamond"/>
                <w:sz w:val="22"/>
                <w:szCs w:val="22"/>
              </w:rPr>
            </w:pPr>
            <w:r>
              <w:rPr>
                <w:rFonts w:ascii="Garamond" w:hAnsi="Garamond"/>
                <w:sz w:val="22"/>
                <w:szCs w:val="22"/>
              </w:rPr>
              <w:t>3</w:t>
            </w:r>
          </w:p>
        </w:tc>
        <w:tc>
          <w:tcPr>
            <w:tcW w:w="8364" w:type="dxa"/>
            <w:tcBorders>
              <w:top w:val="single" w:sz="4" w:space="0" w:color="auto"/>
              <w:left w:val="single" w:sz="4" w:space="0" w:color="auto"/>
              <w:bottom w:val="single" w:sz="4" w:space="0" w:color="auto"/>
              <w:right w:val="single" w:sz="4" w:space="0" w:color="auto"/>
            </w:tcBorders>
            <w:vAlign w:val="center"/>
          </w:tcPr>
          <w:p w:rsidR="006B4A31" w:rsidRPr="00E26E06" w:rsidRDefault="008F3B8A" w:rsidP="00BA756E">
            <w:pPr>
              <w:autoSpaceDE w:val="0"/>
              <w:autoSpaceDN w:val="0"/>
              <w:adjustRightInd w:val="0"/>
              <w:rPr>
                <w:rFonts w:ascii="Garamond" w:hAnsi="Garamond"/>
                <w:sz w:val="22"/>
                <w:szCs w:val="22"/>
              </w:rPr>
            </w:pPr>
            <w:r w:rsidRPr="00E26E06">
              <w:rPr>
                <w:rFonts w:ascii="Garamond" w:hAnsi="Garamond"/>
                <w:sz w:val="22"/>
                <w:szCs w:val="22"/>
              </w:rPr>
              <w:t xml:space="preserve">Podłoże do </w:t>
            </w:r>
            <w:r w:rsidR="007772AE" w:rsidRPr="00E26E06">
              <w:rPr>
                <w:rFonts w:ascii="Garamond" w:hAnsi="Garamond"/>
                <w:sz w:val="22"/>
                <w:szCs w:val="22"/>
              </w:rPr>
              <w:t>wykrywania drobnoustrojów tlenowych (bakterie</w:t>
            </w:r>
            <w:r w:rsidR="00AE5FB2" w:rsidRPr="00E26E06">
              <w:rPr>
                <w:rFonts w:ascii="Garamond" w:hAnsi="Garamond"/>
                <w:sz w:val="22"/>
                <w:szCs w:val="22"/>
              </w:rPr>
              <w:t xml:space="preserve"> </w:t>
            </w:r>
            <w:r w:rsidR="007772AE" w:rsidRPr="00E26E06">
              <w:rPr>
                <w:rFonts w:ascii="Garamond" w:hAnsi="Garamond"/>
                <w:sz w:val="22"/>
                <w:szCs w:val="22"/>
              </w:rPr>
              <w:t xml:space="preserve">i </w:t>
            </w:r>
            <w:r w:rsidR="00BA756E" w:rsidRPr="00E26E06">
              <w:rPr>
                <w:rFonts w:ascii="Garamond" w:hAnsi="Garamond"/>
                <w:sz w:val="22"/>
                <w:szCs w:val="22"/>
              </w:rPr>
              <w:t>drożdże</w:t>
            </w:r>
            <w:r w:rsidR="007772AE" w:rsidRPr="00E26E06">
              <w:rPr>
                <w:rFonts w:ascii="Garamond" w:hAnsi="Garamond"/>
                <w:sz w:val="22"/>
                <w:szCs w:val="22"/>
              </w:rPr>
              <w:t xml:space="preserve">) we krwi oraz innych </w:t>
            </w:r>
            <w:r w:rsidR="00EB2813" w:rsidRPr="00E26E06">
              <w:rPr>
                <w:rFonts w:ascii="Garamond" w:hAnsi="Garamond"/>
                <w:sz w:val="22"/>
                <w:szCs w:val="22"/>
              </w:rPr>
              <w:t xml:space="preserve">fizjologicznie </w:t>
            </w:r>
            <w:r w:rsidR="007772AE" w:rsidRPr="00E26E06">
              <w:rPr>
                <w:rFonts w:ascii="Garamond" w:hAnsi="Garamond"/>
                <w:sz w:val="22"/>
                <w:szCs w:val="22"/>
              </w:rPr>
              <w:t>jałowych płynach</w:t>
            </w:r>
            <w:r w:rsidR="00AE5FB2" w:rsidRPr="00E26E06">
              <w:rPr>
                <w:rFonts w:ascii="Garamond" w:hAnsi="Garamond"/>
                <w:sz w:val="22"/>
                <w:szCs w:val="22"/>
              </w:rPr>
              <w:t xml:space="preserve"> </w:t>
            </w:r>
            <w:r w:rsidR="007772AE" w:rsidRPr="00E26E06">
              <w:rPr>
                <w:rFonts w:ascii="Garamond" w:hAnsi="Garamond"/>
                <w:sz w:val="22"/>
                <w:szCs w:val="22"/>
              </w:rPr>
              <w:t>ustrojowych</w:t>
            </w:r>
            <w:r w:rsidR="00560314" w:rsidRPr="00E26E06">
              <w:rPr>
                <w:rFonts w:ascii="Garamond" w:hAnsi="Garamond"/>
                <w:sz w:val="22"/>
                <w:szCs w:val="22"/>
              </w:rPr>
              <w:t>, bez dodatku redukującego inhibicję namnażania drobnoustrojów przez antybiotyk.</w:t>
            </w:r>
          </w:p>
        </w:tc>
        <w:tc>
          <w:tcPr>
            <w:tcW w:w="1275" w:type="dxa"/>
            <w:tcBorders>
              <w:top w:val="single" w:sz="4" w:space="0" w:color="auto"/>
              <w:left w:val="single" w:sz="4" w:space="0" w:color="auto"/>
              <w:bottom w:val="single" w:sz="4" w:space="0" w:color="auto"/>
              <w:right w:val="single" w:sz="4" w:space="0" w:color="auto"/>
            </w:tcBorders>
            <w:vAlign w:val="center"/>
          </w:tcPr>
          <w:p w:rsidR="006B4A31" w:rsidRPr="00E26E06" w:rsidRDefault="006B4A31" w:rsidP="006A137A">
            <w:pPr>
              <w:suppressAutoHyphens/>
              <w:jc w:val="center"/>
              <w:rPr>
                <w:rFonts w:ascii="Garamond" w:hAnsi="Garamond" w:cs="Arial Narrow"/>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E06" w:rsidRDefault="00E26E06" w:rsidP="00493975">
            <w:pPr>
              <w:suppressAutoHyphens/>
              <w:jc w:val="center"/>
              <w:rPr>
                <w:rFonts w:ascii="Garamond" w:hAnsi="Garamond"/>
                <w:sz w:val="22"/>
                <w:szCs w:val="22"/>
              </w:rPr>
            </w:pPr>
            <w:r>
              <w:rPr>
                <w:rFonts w:ascii="Garamond" w:hAnsi="Garamond"/>
                <w:sz w:val="22"/>
                <w:szCs w:val="22"/>
              </w:rPr>
              <w:t>4</w:t>
            </w: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BA756E">
            <w:pPr>
              <w:autoSpaceDE w:val="0"/>
              <w:autoSpaceDN w:val="0"/>
              <w:adjustRightInd w:val="0"/>
              <w:rPr>
                <w:rFonts w:ascii="Garamond" w:hAnsi="Garamond"/>
                <w:sz w:val="22"/>
                <w:szCs w:val="22"/>
              </w:rPr>
            </w:pPr>
            <w:r w:rsidRPr="00E26E06">
              <w:rPr>
                <w:rFonts w:ascii="Garamond" w:hAnsi="Garamond"/>
                <w:sz w:val="22"/>
                <w:szCs w:val="22"/>
              </w:rPr>
              <w:t xml:space="preserve">Podłoże do </w:t>
            </w:r>
            <w:r w:rsidR="007772AE" w:rsidRPr="00E26E06">
              <w:rPr>
                <w:rFonts w:ascii="Garamond" w:hAnsi="Garamond"/>
                <w:sz w:val="22"/>
                <w:szCs w:val="22"/>
              </w:rPr>
              <w:t>wykrywania drobnoustrojów beztlenowych i względnie beztlenowych we krwi oraz innych</w:t>
            </w:r>
            <w:r w:rsidR="00AE5FB2" w:rsidRPr="00E26E06">
              <w:rPr>
                <w:rFonts w:ascii="Garamond" w:hAnsi="Garamond"/>
                <w:sz w:val="22"/>
                <w:szCs w:val="22"/>
              </w:rPr>
              <w:t xml:space="preserve"> </w:t>
            </w:r>
            <w:r w:rsidR="00EB2813" w:rsidRPr="00E26E06">
              <w:rPr>
                <w:rFonts w:ascii="Garamond" w:hAnsi="Garamond"/>
                <w:sz w:val="22"/>
                <w:szCs w:val="22"/>
              </w:rPr>
              <w:t xml:space="preserve">fizjologicznie </w:t>
            </w:r>
            <w:r w:rsidR="007772AE" w:rsidRPr="00E26E06">
              <w:rPr>
                <w:rFonts w:ascii="Garamond" w:hAnsi="Garamond"/>
                <w:sz w:val="22"/>
                <w:szCs w:val="22"/>
              </w:rPr>
              <w:t>jałowych płynach ustrojowych</w:t>
            </w:r>
            <w:r w:rsidRPr="00E26E06">
              <w:rPr>
                <w:rFonts w:ascii="Garamond" w:hAnsi="Garamond"/>
                <w:sz w:val="22"/>
                <w:szCs w:val="22"/>
              </w:rPr>
              <w:t>, bez dodatku redukującego inhibicję namnażania drobnoustrojów przez antybiotyk.</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493975">
            <w:pPr>
              <w:suppressAutoHyphens/>
              <w:jc w:val="center"/>
              <w:rPr>
                <w:rFonts w:ascii="Garamond" w:hAnsi="Garamond" w:cs="Arial Narrow"/>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E06" w:rsidRDefault="00E26E06" w:rsidP="00493975">
            <w:pPr>
              <w:suppressAutoHyphens/>
              <w:jc w:val="center"/>
              <w:rPr>
                <w:rFonts w:ascii="Garamond" w:hAnsi="Garamond"/>
                <w:sz w:val="22"/>
                <w:szCs w:val="22"/>
              </w:rPr>
            </w:pPr>
            <w:r>
              <w:rPr>
                <w:rFonts w:ascii="Garamond" w:hAnsi="Garamond"/>
                <w:sz w:val="22"/>
                <w:szCs w:val="22"/>
              </w:rPr>
              <w:t>5</w:t>
            </w: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7F296C">
            <w:pPr>
              <w:autoSpaceDE w:val="0"/>
              <w:autoSpaceDN w:val="0"/>
              <w:adjustRightInd w:val="0"/>
              <w:rPr>
                <w:rFonts w:ascii="Garamond" w:hAnsi="Garamond"/>
                <w:sz w:val="22"/>
                <w:szCs w:val="22"/>
              </w:rPr>
            </w:pPr>
            <w:r w:rsidRPr="00E26E06">
              <w:rPr>
                <w:rFonts w:ascii="Garamond" w:hAnsi="Garamond"/>
                <w:sz w:val="22"/>
                <w:szCs w:val="22"/>
              </w:rPr>
              <w:t>Podłoże pediatryczne</w:t>
            </w:r>
            <w:r w:rsidR="007F296C" w:rsidRPr="00E26E06">
              <w:rPr>
                <w:rFonts w:ascii="Garamond" w:hAnsi="Garamond"/>
                <w:sz w:val="22"/>
                <w:szCs w:val="22"/>
              </w:rPr>
              <w:t xml:space="preserve"> o zalecanej objętości materiału badanego nie przekraczającej 5 </w:t>
            </w:r>
            <w:proofErr w:type="spellStart"/>
            <w:r w:rsidR="007F296C" w:rsidRPr="00E26E06">
              <w:rPr>
                <w:rFonts w:ascii="Garamond" w:hAnsi="Garamond"/>
                <w:sz w:val="22"/>
                <w:szCs w:val="22"/>
              </w:rPr>
              <w:t>mL</w:t>
            </w:r>
            <w:proofErr w:type="spellEnd"/>
            <w:r w:rsidR="007F296C" w:rsidRPr="00E26E06">
              <w:rPr>
                <w:rFonts w:ascii="Garamond" w:hAnsi="Garamond"/>
                <w:sz w:val="22"/>
                <w:szCs w:val="22"/>
              </w:rPr>
              <w:t xml:space="preserve"> oraz dopuszczalnej najmniejszej objętości materiału nie przekraczającej 0,5 </w:t>
            </w:r>
            <w:proofErr w:type="spellStart"/>
            <w:r w:rsidR="007F296C" w:rsidRPr="00E26E06">
              <w:rPr>
                <w:rFonts w:ascii="Garamond" w:hAnsi="Garamond"/>
                <w:sz w:val="22"/>
                <w:szCs w:val="22"/>
              </w:rPr>
              <w:t>mL</w:t>
            </w:r>
            <w:proofErr w:type="spellEnd"/>
            <w:r w:rsidR="007F296C" w:rsidRPr="00E26E06">
              <w:rPr>
                <w:rFonts w:ascii="Garamond" w:hAnsi="Garamond"/>
                <w:sz w:val="22"/>
                <w:szCs w:val="22"/>
              </w:rPr>
              <w:t>,</w:t>
            </w:r>
            <w:r w:rsidRPr="00E26E06">
              <w:rPr>
                <w:rFonts w:ascii="Garamond" w:hAnsi="Garamond"/>
                <w:sz w:val="22"/>
                <w:szCs w:val="22"/>
              </w:rPr>
              <w:t xml:space="preserve"> do </w:t>
            </w:r>
            <w:r w:rsidR="007772AE" w:rsidRPr="00E26E06">
              <w:rPr>
                <w:rFonts w:ascii="Garamond" w:hAnsi="Garamond"/>
                <w:sz w:val="22"/>
                <w:szCs w:val="22"/>
              </w:rPr>
              <w:t>wykrywania drobnoustrojów tlenowych</w:t>
            </w:r>
            <w:r w:rsidR="00AE5FB2" w:rsidRPr="00E26E06">
              <w:rPr>
                <w:rFonts w:ascii="Garamond" w:hAnsi="Garamond"/>
                <w:sz w:val="22"/>
                <w:szCs w:val="22"/>
              </w:rPr>
              <w:t xml:space="preserve"> </w:t>
            </w:r>
            <w:r w:rsidR="007772AE" w:rsidRPr="00E26E06">
              <w:rPr>
                <w:rFonts w:ascii="Garamond" w:hAnsi="Garamond"/>
                <w:sz w:val="22"/>
                <w:szCs w:val="22"/>
              </w:rPr>
              <w:t>i względnie beztlenowych (bakterie i drożdże) we krwi</w:t>
            </w:r>
            <w:r w:rsidRPr="00E26E06">
              <w:rPr>
                <w:rFonts w:ascii="Garamond" w:hAnsi="Garamond"/>
                <w:sz w:val="22"/>
                <w:szCs w:val="22"/>
              </w:rPr>
              <w:t>, redukujące inhibicję namnażania drobnoustrojów przez antybiotyk.</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CB7776">
            <w:pPr>
              <w:suppressAutoHyphens/>
              <w:jc w:val="center"/>
              <w:rPr>
                <w:rFonts w:ascii="Garamond" w:hAnsi="Garamond" w:cs="Arial Narrow"/>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E06" w:rsidRDefault="00E26E06" w:rsidP="00493975">
            <w:pPr>
              <w:suppressAutoHyphens/>
              <w:jc w:val="center"/>
              <w:rPr>
                <w:rFonts w:ascii="Garamond" w:hAnsi="Garamond"/>
                <w:sz w:val="22"/>
                <w:szCs w:val="22"/>
              </w:rPr>
            </w:pPr>
            <w:r>
              <w:rPr>
                <w:rFonts w:ascii="Garamond" w:hAnsi="Garamond"/>
                <w:sz w:val="22"/>
                <w:szCs w:val="22"/>
              </w:rPr>
              <w:t>6</w:t>
            </w: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285E47" w:rsidP="00285E47">
            <w:pPr>
              <w:autoSpaceDE w:val="0"/>
              <w:autoSpaceDN w:val="0"/>
              <w:adjustRightInd w:val="0"/>
              <w:rPr>
                <w:rFonts w:ascii="Garamond" w:hAnsi="Garamond"/>
                <w:sz w:val="22"/>
                <w:szCs w:val="22"/>
              </w:rPr>
            </w:pPr>
            <w:r w:rsidRPr="00E26E06">
              <w:rPr>
                <w:rFonts w:ascii="Garamond" w:hAnsi="Garamond"/>
                <w:sz w:val="22"/>
                <w:szCs w:val="22"/>
              </w:rPr>
              <w:t xml:space="preserve">Podłoże do wykrywania drobnoustrojów tlenowych (bakterie i drożdże) </w:t>
            </w:r>
            <w:r w:rsidR="0023613F" w:rsidRPr="00E26E06">
              <w:rPr>
                <w:rFonts w:ascii="Garamond" w:hAnsi="Garamond"/>
                <w:sz w:val="22"/>
                <w:szCs w:val="22"/>
              </w:rPr>
              <w:t>w preparat</w:t>
            </w:r>
            <w:r w:rsidR="00ED2706" w:rsidRPr="00E26E06">
              <w:rPr>
                <w:rFonts w:ascii="Garamond" w:hAnsi="Garamond"/>
                <w:sz w:val="22"/>
                <w:szCs w:val="22"/>
              </w:rPr>
              <w:t>ach</w:t>
            </w:r>
            <w:r w:rsidR="00AE5FB2" w:rsidRPr="00E26E06">
              <w:rPr>
                <w:rFonts w:ascii="Garamond" w:hAnsi="Garamond"/>
                <w:sz w:val="22"/>
                <w:szCs w:val="22"/>
              </w:rPr>
              <w:t xml:space="preserve"> </w:t>
            </w:r>
            <w:r w:rsidR="00607BE4" w:rsidRPr="00E26E06">
              <w:rPr>
                <w:rFonts w:ascii="Garamond" w:hAnsi="Garamond"/>
                <w:sz w:val="22"/>
                <w:szCs w:val="22"/>
              </w:rPr>
              <w:t xml:space="preserve">krwiopochodnych, których głównym składnikiem są płytki krwi (np. </w:t>
            </w:r>
            <w:proofErr w:type="spellStart"/>
            <w:r w:rsidR="0023613F" w:rsidRPr="00E26E06">
              <w:rPr>
                <w:rFonts w:ascii="Garamond" w:hAnsi="Garamond"/>
                <w:sz w:val="22"/>
                <w:szCs w:val="22"/>
              </w:rPr>
              <w:t>ubogoleukocytarn</w:t>
            </w:r>
            <w:r w:rsidRPr="00E26E06">
              <w:rPr>
                <w:rFonts w:ascii="Garamond" w:hAnsi="Garamond"/>
                <w:sz w:val="22"/>
                <w:szCs w:val="22"/>
              </w:rPr>
              <w:t>y</w:t>
            </w:r>
            <w:proofErr w:type="spellEnd"/>
            <w:r w:rsidR="0023613F" w:rsidRPr="00E26E06">
              <w:rPr>
                <w:rFonts w:ascii="Garamond" w:hAnsi="Garamond"/>
                <w:sz w:val="22"/>
                <w:szCs w:val="22"/>
              </w:rPr>
              <w:t xml:space="preserve"> koncentrat płytek krwi</w:t>
            </w:r>
            <w:r w:rsidR="00607BE4"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493975">
            <w:pPr>
              <w:suppressAutoHyphens/>
              <w:jc w:val="center"/>
              <w:rPr>
                <w:rFonts w:ascii="Garamond" w:hAnsi="Garamond" w:cs="Arial Narrow"/>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E06" w:rsidRDefault="00E26E06" w:rsidP="00493975">
            <w:pPr>
              <w:suppressAutoHyphens/>
              <w:jc w:val="center"/>
              <w:rPr>
                <w:rFonts w:ascii="Garamond" w:hAnsi="Garamond"/>
                <w:sz w:val="22"/>
                <w:szCs w:val="22"/>
              </w:rPr>
            </w:pPr>
            <w:r>
              <w:rPr>
                <w:rFonts w:ascii="Garamond" w:hAnsi="Garamond"/>
                <w:sz w:val="22"/>
                <w:szCs w:val="22"/>
              </w:rPr>
              <w:t>7</w:t>
            </w: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285E47" w:rsidP="00285E47">
            <w:pPr>
              <w:autoSpaceDE w:val="0"/>
              <w:autoSpaceDN w:val="0"/>
              <w:adjustRightInd w:val="0"/>
              <w:rPr>
                <w:rFonts w:ascii="Garamond" w:hAnsi="Garamond"/>
                <w:sz w:val="22"/>
                <w:szCs w:val="22"/>
              </w:rPr>
            </w:pPr>
            <w:r w:rsidRPr="00E26E06">
              <w:rPr>
                <w:rFonts w:ascii="Garamond" w:hAnsi="Garamond"/>
                <w:sz w:val="22"/>
                <w:szCs w:val="22"/>
              </w:rPr>
              <w:t xml:space="preserve">Podłoże do wykrywania drobnoustrojów beztlenowych i względnie beztlenowych </w:t>
            </w:r>
            <w:r w:rsidR="00607BE4" w:rsidRPr="00E26E06">
              <w:rPr>
                <w:rFonts w:ascii="Garamond" w:hAnsi="Garamond"/>
                <w:sz w:val="22"/>
                <w:szCs w:val="22"/>
              </w:rPr>
              <w:t xml:space="preserve">w preparatach krwiopochodnych, których głównym składnikiem są płytki krwi (np. </w:t>
            </w:r>
            <w:proofErr w:type="spellStart"/>
            <w:r w:rsidR="00607BE4" w:rsidRPr="00E26E06">
              <w:rPr>
                <w:rFonts w:ascii="Garamond" w:hAnsi="Garamond"/>
                <w:sz w:val="22"/>
                <w:szCs w:val="22"/>
              </w:rPr>
              <w:t>ubogoleukocytarn</w:t>
            </w:r>
            <w:r w:rsidRPr="00E26E06">
              <w:rPr>
                <w:rFonts w:ascii="Garamond" w:hAnsi="Garamond"/>
                <w:sz w:val="22"/>
                <w:szCs w:val="22"/>
              </w:rPr>
              <w:t>y</w:t>
            </w:r>
            <w:proofErr w:type="spellEnd"/>
            <w:r w:rsidR="00607BE4" w:rsidRPr="00E26E06">
              <w:rPr>
                <w:rFonts w:ascii="Garamond" w:hAnsi="Garamond"/>
                <w:sz w:val="22"/>
                <w:szCs w:val="22"/>
              </w:rPr>
              <w:t xml:space="preserve"> koncentrat płytek krwi).</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493975">
            <w:pPr>
              <w:suppressAutoHyphens/>
              <w:jc w:val="center"/>
              <w:rPr>
                <w:rFonts w:ascii="Garamond" w:hAnsi="Garamond" w:cs="Arial Narrow"/>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E06" w:rsidRDefault="00E26E06" w:rsidP="00493975">
            <w:pPr>
              <w:suppressAutoHyphens/>
              <w:jc w:val="center"/>
              <w:rPr>
                <w:rFonts w:ascii="Garamond" w:hAnsi="Garamond"/>
                <w:sz w:val="22"/>
                <w:szCs w:val="22"/>
              </w:rPr>
            </w:pPr>
            <w:r>
              <w:rPr>
                <w:rFonts w:ascii="Garamond" w:hAnsi="Garamond"/>
                <w:sz w:val="22"/>
                <w:szCs w:val="22"/>
              </w:rPr>
              <w:t>8</w:t>
            </w: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BA76EB">
            <w:pPr>
              <w:autoSpaceDE w:val="0"/>
              <w:autoSpaceDN w:val="0"/>
              <w:adjustRightInd w:val="0"/>
              <w:rPr>
                <w:rFonts w:ascii="Garamond" w:hAnsi="Garamond"/>
                <w:sz w:val="22"/>
                <w:szCs w:val="22"/>
              </w:rPr>
            </w:pPr>
            <w:r w:rsidRPr="00E26E06">
              <w:rPr>
                <w:rFonts w:ascii="Garamond" w:hAnsi="Garamond"/>
                <w:sz w:val="22"/>
                <w:szCs w:val="22"/>
              </w:rPr>
              <w:t xml:space="preserve">Podłoże do </w:t>
            </w:r>
            <w:r w:rsidR="00F65EF0" w:rsidRPr="00E26E06">
              <w:rPr>
                <w:rFonts w:ascii="Garamond" w:hAnsi="Garamond"/>
                <w:sz w:val="22"/>
                <w:szCs w:val="22"/>
              </w:rPr>
              <w:t>namnażania i wykrywania</w:t>
            </w:r>
            <w:r w:rsidR="00AE5FB2" w:rsidRPr="00E26E06">
              <w:rPr>
                <w:rFonts w:ascii="Garamond" w:hAnsi="Garamond"/>
                <w:sz w:val="22"/>
                <w:szCs w:val="22"/>
              </w:rPr>
              <w:t xml:space="preserve"> </w:t>
            </w:r>
            <w:r w:rsidR="00BA76EB" w:rsidRPr="00E26E06">
              <w:rPr>
                <w:rFonts w:ascii="Garamond" w:hAnsi="Garamond"/>
                <w:sz w:val="22"/>
                <w:szCs w:val="22"/>
              </w:rPr>
              <w:t>drobnoustrojów</w:t>
            </w:r>
            <w:r w:rsidR="00F65EF0" w:rsidRPr="00E26E06">
              <w:rPr>
                <w:rFonts w:ascii="Garamond" w:hAnsi="Garamond"/>
                <w:sz w:val="22"/>
                <w:szCs w:val="22"/>
              </w:rPr>
              <w:t xml:space="preserve"> tlenowych i względnie beztlenowych</w:t>
            </w:r>
            <w:r w:rsidR="00AE5FB2" w:rsidRPr="00E26E06">
              <w:rPr>
                <w:rFonts w:ascii="Garamond" w:hAnsi="Garamond"/>
                <w:sz w:val="22"/>
                <w:szCs w:val="22"/>
              </w:rPr>
              <w:t xml:space="preserve"> </w:t>
            </w:r>
            <w:r w:rsidR="00F65EF0" w:rsidRPr="00E26E06">
              <w:rPr>
                <w:rFonts w:ascii="Garamond" w:hAnsi="Garamond"/>
                <w:sz w:val="22"/>
                <w:szCs w:val="22"/>
              </w:rPr>
              <w:t>(bakterie i grzyby)</w:t>
            </w:r>
            <w:r w:rsidRPr="00E26E06">
              <w:rPr>
                <w:rFonts w:ascii="Garamond" w:hAnsi="Garamond"/>
                <w:sz w:val="22"/>
                <w:szCs w:val="22"/>
              </w:rPr>
              <w:t xml:space="preserve"> </w:t>
            </w:r>
            <w:r w:rsidR="00F65EF0" w:rsidRPr="00E26E06">
              <w:rPr>
                <w:rFonts w:ascii="Garamond" w:hAnsi="Garamond"/>
                <w:sz w:val="22"/>
                <w:szCs w:val="22"/>
              </w:rPr>
              <w:t>w</w:t>
            </w:r>
            <w:r w:rsidRPr="00E26E06">
              <w:rPr>
                <w:rFonts w:ascii="Garamond" w:hAnsi="Garamond"/>
                <w:sz w:val="22"/>
                <w:szCs w:val="22"/>
              </w:rPr>
              <w:t xml:space="preserve"> produkt</w:t>
            </w:r>
            <w:r w:rsidR="00F65EF0" w:rsidRPr="00E26E06">
              <w:rPr>
                <w:rFonts w:ascii="Garamond" w:hAnsi="Garamond"/>
                <w:sz w:val="22"/>
                <w:szCs w:val="22"/>
              </w:rPr>
              <w:t>ach</w:t>
            </w:r>
            <w:r w:rsidRPr="00E26E06">
              <w:rPr>
                <w:rFonts w:ascii="Garamond" w:hAnsi="Garamond"/>
                <w:sz w:val="22"/>
                <w:szCs w:val="22"/>
              </w:rPr>
              <w:t xml:space="preserve"> przetwarzanych i przygotowanych jako jałowe w aptece szpitalnej.</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CB7776">
            <w:pPr>
              <w:suppressAutoHyphens/>
              <w:jc w:val="center"/>
              <w:rPr>
                <w:rFonts w:ascii="Garamond" w:hAnsi="Garamond" w:cs="Arial Narrow"/>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E06" w:rsidRDefault="00E26E06" w:rsidP="00493975">
            <w:pPr>
              <w:suppressAutoHyphens/>
              <w:jc w:val="center"/>
              <w:rPr>
                <w:rFonts w:ascii="Garamond" w:hAnsi="Garamond"/>
                <w:sz w:val="22"/>
                <w:szCs w:val="22"/>
              </w:rPr>
            </w:pPr>
            <w:r>
              <w:rPr>
                <w:rFonts w:ascii="Garamond" w:hAnsi="Garamond"/>
                <w:sz w:val="22"/>
                <w:szCs w:val="22"/>
              </w:rPr>
              <w:t>9</w:t>
            </w: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BA76EB">
            <w:pPr>
              <w:autoSpaceDE w:val="0"/>
              <w:autoSpaceDN w:val="0"/>
              <w:adjustRightInd w:val="0"/>
              <w:rPr>
                <w:rFonts w:ascii="Garamond" w:hAnsi="Garamond"/>
                <w:sz w:val="22"/>
                <w:szCs w:val="22"/>
              </w:rPr>
            </w:pPr>
            <w:r w:rsidRPr="00E26E06">
              <w:rPr>
                <w:rFonts w:ascii="Garamond" w:hAnsi="Garamond"/>
                <w:sz w:val="22"/>
                <w:szCs w:val="22"/>
              </w:rPr>
              <w:t xml:space="preserve">Podłoże do </w:t>
            </w:r>
            <w:r w:rsidR="00F65EF0" w:rsidRPr="00E26E06">
              <w:rPr>
                <w:rFonts w:ascii="Garamond" w:hAnsi="Garamond"/>
                <w:sz w:val="22"/>
                <w:szCs w:val="22"/>
              </w:rPr>
              <w:t>namnażania i wykrywania</w:t>
            </w:r>
            <w:r w:rsidR="00AE5FB2" w:rsidRPr="00E26E06">
              <w:rPr>
                <w:rFonts w:ascii="Garamond" w:hAnsi="Garamond"/>
                <w:sz w:val="22"/>
                <w:szCs w:val="22"/>
              </w:rPr>
              <w:t xml:space="preserve"> </w:t>
            </w:r>
            <w:r w:rsidR="00BA76EB" w:rsidRPr="00E26E06">
              <w:rPr>
                <w:rFonts w:ascii="Garamond" w:hAnsi="Garamond"/>
                <w:sz w:val="22"/>
                <w:szCs w:val="22"/>
              </w:rPr>
              <w:t>drobnoustrojów</w:t>
            </w:r>
            <w:r w:rsidR="00F65EF0" w:rsidRPr="00E26E06">
              <w:rPr>
                <w:rFonts w:ascii="Garamond" w:hAnsi="Garamond"/>
                <w:sz w:val="22"/>
                <w:szCs w:val="22"/>
              </w:rPr>
              <w:t xml:space="preserve"> beztlenowych i względnie beztlenowych</w:t>
            </w:r>
            <w:r w:rsidRPr="00E26E06">
              <w:rPr>
                <w:rFonts w:ascii="Garamond" w:hAnsi="Garamond"/>
                <w:sz w:val="22"/>
                <w:szCs w:val="22"/>
              </w:rPr>
              <w:t xml:space="preserve"> </w:t>
            </w:r>
            <w:r w:rsidR="00F65EF0" w:rsidRPr="00E26E06">
              <w:rPr>
                <w:rFonts w:ascii="Garamond" w:hAnsi="Garamond"/>
                <w:sz w:val="22"/>
                <w:szCs w:val="22"/>
              </w:rPr>
              <w:t>w produktach</w:t>
            </w:r>
            <w:r w:rsidRPr="00E26E06">
              <w:rPr>
                <w:rFonts w:ascii="Garamond" w:hAnsi="Garamond"/>
                <w:sz w:val="22"/>
                <w:szCs w:val="22"/>
              </w:rPr>
              <w:t xml:space="preserve"> przetwarzanych i przygotowanych jako jałowe w aptece szpitalnej.</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CB7776">
            <w:pPr>
              <w:suppressAutoHyphens/>
              <w:jc w:val="center"/>
              <w:rPr>
                <w:rFonts w:ascii="Garamond" w:hAnsi="Garamond" w:cs="Arial Narrow"/>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493975">
            <w:pPr>
              <w:suppressAutoHyphens/>
              <w:jc w:val="center"/>
              <w:rPr>
                <w:rFonts w:ascii="Garamond" w:hAnsi="Garamond"/>
                <w:sz w:val="22"/>
                <w:szCs w:val="22"/>
              </w:rPr>
            </w:pP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493975">
            <w:pPr>
              <w:pStyle w:val="Nagwek3"/>
              <w:spacing w:before="120" w:after="120"/>
              <w:jc w:val="center"/>
              <w:rPr>
                <w:rFonts w:ascii="Garamond" w:hAnsi="Garamond"/>
                <w:b w:val="0"/>
                <w:color w:val="auto"/>
                <w:sz w:val="22"/>
                <w:szCs w:val="22"/>
                <w:u w:val="single"/>
              </w:rPr>
            </w:pPr>
            <w:r w:rsidRPr="00E26E06">
              <w:rPr>
                <w:rFonts w:ascii="Garamond" w:hAnsi="Garamond"/>
                <w:b w:val="0"/>
                <w:color w:val="auto"/>
                <w:sz w:val="22"/>
                <w:szCs w:val="22"/>
                <w:u w:val="single"/>
              </w:rPr>
              <w:t>Wymagania dla butelek z podłożami do posiewu:</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493975">
            <w:pPr>
              <w:suppressAutoHyphens/>
              <w:jc w:val="center"/>
              <w:rPr>
                <w:rFonts w:ascii="Garamond" w:hAnsi="Garamond" w:cs="Arial Narrow"/>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E06" w:rsidRDefault="00E26E06" w:rsidP="00493975">
            <w:pPr>
              <w:jc w:val="center"/>
              <w:rPr>
                <w:rFonts w:ascii="Garamond" w:hAnsi="Garamond"/>
                <w:sz w:val="22"/>
                <w:szCs w:val="22"/>
              </w:rPr>
            </w:pPr>
            <w:r>
              <w:rPr>
                <w:rFonts w:ascii="Garamond" w:hAnsi="Garamond"/>
                <w:sz w:val="22"/>
                <w:szCs w:val="22"/>
              </w:rPr>
              <w:t>10</w:t>
            </w: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E720CF" w:rsidP="00E720CF">
            <w:pPr>
              <w:rPr>
                <w:rFonts w:ascii="Garamond" w:hAnsi="Garamond"/>
                <w:sz w:val="22"/>
                <w:szCs w:val="22"/>
              </w:rPr>
            </w:pPr>
            <w:r w:rsidRPr="00E26E06">
              <w:rPr>
                <w:rFonts w:ascii="Garamond" w:hAnsi="Garamond"/>
                <w:sz w:val="22"/>
                <w:szCs w:val="22"/>
              </w:rPr>
              <w:t>Wszystkie b</w:t>
            </w:r>
            <w:r w:rsidR="00560314" w:rsidRPr="00E26E06">
              <w:rPr>
                <w:rFonts w:ascii="Garamond" w:hAnsi="Garamond"/>
                <w:sz w:val="22"/>
                <w:szCs w:val="22"/>
              </w:rPr>
              <w:t>utelki zawierające podłoża wykonane z tworzywa sztucznego.</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493975">
            <w:pPr>
              <w:jc w:val="center"/>
              <w:rPr>
                <w:rFonts w:ascii="Garamond" w:hAnsi="Garamond"/>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E06" w:rsidRDefault="00E26E06" w:rsidP="00493975">
            <w:pPr>
              <w:jc w:val="center"/>
              <w:rPr>
                <w:rFonts w:ascii="Garamond" w:hAnsi="Garamond"/>
                <w:sz w:val="22"/>
                <w:szCs w:val="22"/>
              </w:rPr>
            </w:pPr>
            <w:r>
              <w:rPr>
                <w:rFonts w:ascii="Garamond" w:hAnsi="Garamond"/>
                <w:sz w:val="22"/>
                <w:szCs w:val="22"/>
              </w:rPr>
              <w:t>11</w:t>
            </w: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94389F">
            <w:pPr>
              <w:rPr>
                <w:rFonts w:ascii="Garamond" w:hAnsi="Garamond"/>
                <w:sz w:val="22"/>
                <w:szCs w:val="22"/>
              </w:rPr>
            </w:pPr>
            <w:r w:rsidRPr="00E26E06">
              <w:rPr>
                <w:rFonts w:ascii="Garamond" w:hAnsi="Garamond"/>
                <w:sz w:val="22"/>
                <w:szCs w:val="22"/>
              </w:rPr>
              <w:t>Przeznaczenie podłoża (dopuszczalność zastosowania)</w:t>
            </w:r>
            <w:r w:rsidR="0094389F" w:rsidRPr="00E26E06">
              <w:rPr>
                <w:rFonts w:ascii="Garamond" w:hAnsi="Garamond"/>
                <w:sz w:val="22"/>
                <w:szCs w:val="22"/>
              </w:rPr>
              <w:t xml:space="preserve"> oraz zalecane objętości materiału badanego</w:t>
            </w:r>
            <w:r w:rsidRPr="00E26E06">
              <w:rPr>
                <w:rFonts w:ascii="Garamond" w:hAnsi="Garamond"/>
                <w:sz w:val="22"/>
                <w:szCs w:val="22"/>
              </w:rPr>
              <w:t xml:space="preserve"> </w:t>
            </w:r>
            <w:r w:rsidR="0094389F" w:rsidRPr="00E26E06">
              <w:rPr>
                <w:rFonts w:ascii="Garamond" w:hAnsi="Garamond"/>
                <w:sz w:val="22"/>
                <w:szCs w:val="22"/>
              </w:rPr>
              <w:t>muszą</w:t>
            </w:r>
            <w:r w:rsidRPr="00E26E06">
              <w:rPr>
                <w:rFonts w:ascii="Garamond" w:hAnsi="Garamond"/>
                <w:sz w:val="22"/>
                <w:szCs w:val="22"/>
              </w:rPr>
              <w:t xml:space="preserve"> być określone w oficjalnej dokumentacji producenta składanej wraz z ofertą.</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493975">
            <w:pPr>
              <w:jc w:val="center"/>
              <w:rPr>
                <w:rFonts w:ascii="Garamond" w:hAnsi="Garamond"/>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E06" w:rsidRDefault="00B824FB" w:rsidP="00493975">
            <w:pPr>
              <w:jc w:val="center"/>
              <w:rPr>
                <w:rFonts w:ascii="Garamond" w:hAnsi="Garamond"/>
                <w:sz w:val="22"/>
                <w:szCs w:val="22"/>
              </w:rPr>
            </w:pPr>
            <w:r>
              <w:rPr>
                <w:rFonts w:ascii="Garamond" w:hAnsi="Garamond"/>
                <w:sz w:val="22"/>
                <w:szCs w:val="22"/>
              </w:rPr>
              <w:t>12</w:t>
            </w: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2B0899">
            <w:pPr>
              <w:rPr>
                <w:rFonts w:ascii="Garamond" w:hAnsi="Garamond"/>
                <w:sz w:val="22"/>
                <w:szCs w:val="22"/>
              </w:rPr>
            </w:pPr>
            <w:r w:rsidRPr="00E26E06">
              <w:rPr>
                <w:rFonts w:ascii="Garamond" w:hAnsi="Garamond"/>
                <w:sz w:val="22"/>
                <w:szCs w:val="22"/>
              </w:rPr>
              <w:t>W ramach składanej jako oferta dokumentacji, dla każdego rodzaju zamawianego podłoża musi zostać określony ciężar pojedynczej butelki wraz z podłożem</w:t>
            </w:r>
            <w:r w:rsidR="008D0D9D" w:rsidRPr="00E26E06">
              <w:rPr>
                <w:rFonts w:ascii="Garamond" w:hAnsi="Garamond"/>
                <w:sz w:val="22"/>
                <w:szCs w:val="22"/>
              </w:rPr>
              <w:t xml:space="preserve"> hodowlanym</w:t>
            </w:r>
            <w:r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493975">
            <w:pPr>
              <w:jc w:val="center"/>
              <w:rPr>
                <w:rFonts w:ascii="Garamond" w:hAnsi="Garamond"/>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550" w:rsidRDefault="00E26E06" w:rsidP="00B824FB">
            <w:pPr>
              <w:jc w:val="center"/>
              <w:rPr>
                <w:rFonts w:ascii="Garamond" w:hAnsi="Garamond"/>
                <w:b/>
                <w:sz w:val="22"/>
                <w:szCs w:val="22"/>
              </w:rPr>
            </w:pPr>
            <w:r w:rsidRPr="00E26550">
              <w:rPr>
                <w:rFonts w:ascii="Garamond" w:hAnsi="Garamond"/>
                <w:b/>
                <w:sz w:val="22"/>
                <w:szCs w:val="22"/>
              </w:rPr>
              <w:t>1</w:t>
            </w:r>
            <w:r w:rsidR="00B824FB" w:rsidRPr="00E26550">
              <w:rPr>
                <w:rFonts w:ascii="Garamond" w:hAnsi="Garamond"/>
                <w:b/>
                <w:sz w:val="22"/>
                <w:szCs w:val="22"/>
              </w:rPr>
              <w:t>3</w:t>
            </w:r>
            <w:r w:rsidR="00560314" w:rsidRPr="00E26550">
              <w:rPr>
                <w:rFonts w:ascii="Garamond" w:hAnsi="Garamond"/>
                <w:b/>
                <w:sz w:val="22"/>
                <w:szCs w:val="22"/>
              </w:rPr>
              <w:t>a*</w:t>
            </w: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EA2A77">
            <w:pPr>
              <w:rPr>
                <w:rFonts w:ascii="Garamond" w:hAnsi="Garamond"/>
                <w:sz w:val="22"/>
                <w:szCs w:val="22"/>
              </w:rPr>
            </w:pPr>
            <w:r w:rsidRPr="00E26E06">
              <w:rPr>
                <w:rFonts w:ascii="Garamond" w:hAnsi="Garamond"/>
                <w:sz w:val="22"/>
                <w:szCs w:val="22"/>
              </w:rPr>
              <w:t xml:space="preserve">Ciężar pojedynczej butelki wraz z podłożem dla każdego oferowanego rodzaju podłoża nie przekracza 80 g. </w:t>
            </w:r>
            <w:r w:rsidR="004E2E3A" w:rsidRPr="00E26E06">
              <w:rPr>
                <w:rFonts w:ascii="Garamond" w:hAnsi="Garamond"/>
                <w:sz w:val="22"/>
                <w:szCs w:val="22"/>
              </w:rPr>
              <w:t>(butelka z podłożem bez dodanego materiału</w:t>
            </w:r>
            <w:r w:rsidR="00E0178D" w:rsidRPr="00E26E06">
              <w:rPr>
                <w:rFonts w:ascii="Garamond" w:hAnsi="Garamond"/>
                <w:sz w:val="22"/>
                <w:szCs w:val="22"/>
              </w:rPr>
              <w:t xml:space="preserve"> badanego</w:t>
            </w:r>
            <w:r w:rsidR="004E2E3A"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493975">
            <w:pPr>
              <w:jc w:val="center"/>
              <w:rPr>
                <w:rFonts w:ascii="Garamond" w:hAnsi="Garamond"/>
                <w:sz w:val="22"/>
                <w:szCs w:val="22"/>
              </w:rPr>
            </w:pPr>
          </w:p>
        </w:tc>
      </w:tr>
      <w:tr w:rsidR="0056031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60314" w:rsidRPr="00E26550" w:rsidRDefault="00E26E06" w:rsidP="00B824FB">
            <w:pPr>
              <w:jc w:val="center"/>
              <w:rPr>
                <w:rFonts w:ascii="Garamond" w:hAnsi="Garamond"/>
                <w:b/>
                <w:sz w:val="22"/>
                <w:szCs w:val="22"/>
              </w:rPr>
            </w:pPr>
            <w:r w:rsidRPr="00E26550">
              <w:rPr>
                <w:rFonts w:ascii="Garamond" w:hAnsi="Garamond"/>
                <w:b/>
                <w:sz w:val="22"/>
                <w:szCs w:val="22"/>
              </w:rPr>
              <w:t>1</w:t>
            </w:r>
            <w:r w:rsidR="00B824FB" w:rsidRPr="00E26550">
              <w:rPr>
                <w:rFonts w:ascii="Garamond" w:hAnsi="Garamond"/>
                <w:b/>
                <w:sz w:val="22"/>
                <w:szCs w:val="22"/>
              </w:rPr>
              <w:t>3</w:t>
            </w:r>
            <w:r w:rsidR="00560314" w:rsidRPr="00E26550">
              <w:rPr>
                <w:rFonts w:ascii="Garamond" w:hAnsi="Garamond"/>
                <w:b/>
                <w:sz w:val="22"/>
                <w:szCs w:val="22"/>
              </w:rPr>
              <w:t>b*</w:t>
            </w:r>
          </w:p>
        </w:tc>
        <w:tc>
          <w:tcPr>
            <w:tcW w:w="8364"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EA2A77">
            <w:pPr>
              <w:rPr>
                <w:rFonts w:ascii="Garamond" w:hAnsi="Garamond"/>
                <w:sz w:val="22"/>
                <w:szCs w:val="22"/>
              </w:rPr>
            </w:pPr>
            <w:r w:rsidRPr="00E26E06">
              <w:rPr>
                <w:rFonts w:ascii="Garamond" w:hAnsi="Garamond"/>
                <w:sz w:val="22"/>
                <w:szCs w:val="22"/>
              </w:rPr>
              <w:t>Ciężar pojedynczej butelki wraz z podłożem dla każdego oferowanego rodzaju podłoża nie przekracza 120 g.</w:t>
            </w:r>
            <w:r w:rsidR="004E2E3A" w:rsidRPr="00E26E06">
              <w:rPr>
                <w:rFonts w:ascii="Garamond" w:hAnsi="Garamond"/>
                <w:sz w:val="22"/>
                <w:szCs w:val="22"/>
              </w:rPr>
              <w:t xml:space="preserve"> (butelka z podłożem bez dodanego materiału</w:t>
            </w:r>
            <w:r w:rsidR="00E0178D" w:rsidRPr="00E26E06">
              <w:rPr>
                <w:rFonts w:ascii="Garamond" w:hAnsi="Garamond"/>
                <w:sz w:val="22"/>
                <w:szCs w:val="22"/>
              </w:rPr>
              <w:t xml:space="preserve"> badanego</w:t>
            </w:r>
            <w:r w:rsidR="004E2E3A"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560314" w:rsidRPr="00E26E06" w:rsidRDefault="00560314" w:rsidP="00493975">
            <w:pPr>
              <w:jc w:val="center"/>
              <w:rPr>
                <w:rFonts w:ascii="Garamond" w:hAnsi="Garamond"/>
                <w:sz w:val="22"/>
                <w:szCs w:val="22"/>
              </w:rPr>
            </w:pPr>
          </w:p>
        </w:tc>
      </w:tr>
      <w:tr w:rsidR="005840B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840B4" w:rsidRPr="00E26E06" w:rsidRDefault="00E26E06" w:rsidP="00B824FB">
            <w:pPr>
              <w:jc w:val="center"/>
              <w:rPr>
                <w:rFonts w:ascii="Garamond" w:hAnsi="Garamond"/>
                <w:sz w:val="22"/>
                <w:szCs w:val="22"/>
              </w:rPr>
            </w:pPr>
            <w:r>
              <w:rPr>
                <w:rFonts w:ascii="Garamond" w:hAnsi="Garamond"/>
                <w:sz w:val="22"/>
                <w:szCs w:val="22"/>
              </w:rPr>
              <w:t>1</w:t>
            </w:r>
            <w:r w:rsidR="00B824FB">
              <w:rPr>
                <w:rFonts w:ascii="Garamond" w:hAnsi="Garamond"/>
                <w:sz w:val="22"/>
                <w:szCs w:val="22"/>
              </w:rPr>
              <w:t>4</w:t>
            </w:r>
          </w:p>
        </w:tc>
        <w:tc>
          <w:tcPr>
            <w:tcW w:w="8364" w:type="dxa"/>
            <w:tcBorders>
              <w:top w:val="single" w:sz="4" w:space="0" w:color="auto"/>
              <w:left w:val="single" w:sz="4" w:space="0" w:color="auto"/>
              <w:bottom w:val="single" w:sz="4" w:space="0" w:color="auto"/>
              <w:right w:val="single" w:sz="4" w:space="0" w:color="auto"/>
            </w:tcBorders>
            <w:vAlign w:val="center"/>
          </w:tcPr>
          <w:p w:rsidR="005840B4" w:rsidRPr="00E26E06" w:rsidRDefault="00135EA3" w:rsidP="00135EA3">
            <w:pPr>
              <w:rPr>
                <w:rFonts w:ascii="Garamond" w:hAnsi="Garamond"/>
                <w:sz w:val="22"/>
                <w:szCs w:val="22"/>
              </w:rPr>
            </w:pPr>
            <w:r w:rsidRPr="00E26E06">
              <w:rPr>
                <w:rFonts w:ascii="Garamond" w:hAnsi="Garamond"/>
                <w:sz w:val="22"/>
                <w:szCs w:val="22"/>
              </w:rPr>
              <w:t>W odniesieniu do butelek z podłożami przeznaczonymi dla posiewów krwi i innych materiałów pochodzących bezpośrednio od pacjentów, m</w:t>
            </w:r>
            <w:r w:rsidR="005840B4" w:rsidRPr="00E26E06">
              <w:rPr>
                <w:rFonts w:ascii="Garamond" w:hAnsi="Garamond"/>
                <w:sz w:val="22"/>
                <w:szCs w:val="22"/>
              </w:rPr>
              <w:t>aksymalny dopuszczalny czas oczekiwania na umieszczenie w aparacie monitorującym namnażanie drobnoustrojów musi być określony w oficjalnej dokumentacji producenta, składanej wraz z ofertą.</w:t>
            </w:r>
          </w:p>
        </w:tc>
        <w:tc>
          <w:tcPr>
            <w:tcW w:w="1275" w:type="dxa"/>
            <w:tcBorders>
              <w:top w:val="single" w:sz="4" w:space="0" w:color="auto"/>
              <w:left w:val="single" w:sz="4" w:space="0" w:color="auto"/>
              <w:bottom w:val="single" w:sz="4" w:space="0" w:color="auto"/>
              <w:right w:val="single" w:sz="4" w:space="0" w:color="auto"/>
            </w:tcBorders>
            <w:vAlign w:val="center"/>
          </w:tcPr>
          <w:p w:rsidR="005840B4" w:rsidRPr="00E26E06" w:rsidRDefault="005840B4" w:rsidP="00493975">
            <w:pPr>
              <w:jc w:val="center"/>
              <w:rPr>
                <w:rFonts w:ascii="Garamond" w:hAnsi="Garamond"/>
                <w:sz w:val="22"/>
                <w:szCs w:val="22"/>
              </w:rPr>
            </w:pPr>
          </w:p>
        </w:tc>
      </w:tr>
      <w:tr w:rsidR="005840B4"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5840B4" w:rsidRPr="00E26550" w:rsidRDefault="00E26E06" w:rsidP="00B824FB">
            <w:pPr>
              <w:jc w:val="center"/>
              <w:rPr>
                <w:rFonts w:ascii="Garamond" w:hAnsi="Garamond"/>
                <w:b/>
                <w:sz w:val="22"/>
                <w:szCs w:val="22"/>
              </w:rPr>
            </w:pPr>
            <w:r w:rsidRPr="00E26550">
              <w:rPr>
                <w:rFonts w:ascii="Garamond" w:hAnsi="Garamond"/>
                <w:b/>
                <w:sz w:val="22"/>
                <w:szCs w:val="22"/>
              </w:rPr>
              <w:t>1</w:t>
            </w:r>
            <w:r w:rsidR="00B824FB" w:rsidRPr="00E26550">
              <w:rPr>
                <w:rFonts w:ascii="Garamond" w:hAnsi="Garamond"/>
                <w:b/>
                <w:sz w:val="22"/>
                <w:szCs w:val="22"/>
              </w:rPr>
              <w:t>5</w:t>
            </w:r>
            <w:r w:rsidR="005840B4" w:rsidRPr="00E26550">
              <w:rPr>
                <w:rFonts w:ascii="Garamond" w:hAnsi="Garamond"/>
                <w:b/>
                <w:sz w:val="22"/>
                <w:szCs w:val="22"/>
              </w:rPr>
              <w:t>a*</w:t>
            </w:r>
          </w:p>
        </w:tc>
        <w:tc>
          <w:tcPr>
            <w:tcW w:w="8364" w:type="dxa"/>
            <w:tcBorders>
              <w:top w:val="single" w:sz="4" w:space="0" w:color="auto"/>
              <w:left w:val="single" w:sz="4" w:space="0" w:color="auto"/>
              <w:bottom w:val="single" w:sz="4" w:space="0" w:color="auto"/>
              <w:right w:val="single" w:sz="4" w:space="0" w:color="auto"/>
            </w:tcBorders>
            <w:vAlign w:val="center"/>
          </w:tcPr>
          <w:p w:rsidR="005840B4" w:rsidRPr="00E26E06" w:rsidRDefault="005840B4" w:rsidP="00037114">
            <w:pPr>
              <w:rPr>
                <w:rFonts w:ascii="Garamond" w:hAnsi="Garamond"/>
                <w:sz w:val="22"/>
                <w:szCs w:val="22"/>
              </w:rPr>
            </w:pPr>
            <w:r w:rsidRPr="00E26E06">
              <w:rPr>
                <w:rFonts w:ascii="Garamond" w:hAnsi="Garamond"/>
                <w:sz w:val="22"/>
                <w:szCs w:val="22"/>
              </w:rPr>
              <w:t xml:space="preserve">Możliwość oczekiwania </w:t>
            </w:r>
            <w:r w:rsidR="00037114" w:rsidRPr="00E26E06">
              <w:rPr>
                <w:rFonts w:ascii="Garamond" w:hAnsi="Garamond"/>
                <w:sz w:val="22"/>
                <w:szCs w:val="22"/>
              </w:rPr>
              <w:t>zaszczepionych</w:t>
            </w:r>
            <w:r w:rsidRPr="00E26E06">
              <w:rPr>
                <w:rFonts w:ascii="Garamond" w:hAnsi="Garamond"/>
                <w:sz w:val="22"/>
                <w:szCs w:val="22"/>
              </w:rPr>
              <w:t xml:space="preserve"> </w:t>
            </w:r>
            <w:r w:rsidR="004E2E3A" w:rsidRPr="00E26E06">
              <w:rPr>
                <w:rFonts w:ascii="Garamond" w:hAnsi="Garamond"/>
                <w:sz w:val="22"/>
                <w:szCs w:val="22"/>
              </w:rPr>
              <w:t>krwią pacjenta</w:t>
            </w:r>
            <w:r w:rsidRPr="00E26E06">
              <w:rPr>
                <w:rFonts w:ascii="Garamond" w:hAnsi="Garamond"/>
                <w:sz w:val="22"/>
                <w:szCs w:val="22"/>
              </w:rPr>
              <w:t xml:space="preserve"> butelek na umieszczenie w aparacie monitorującym namnażanie drobnoustrojów do 24 godzin</w:t>
            </w:r>
            <w:r w:rsidR="00135EA3"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5840B4" w:rsidRPr="00E26E06" w:rsidRDefault="005840B4" w:rsidP="00493975">
            <w:pPr>
              <w:jc w:val="center"/>
              <w:rPr>
                <w:rFonts w:ascii="Garamond" w:hAnsi="Garamond"/>
                <w:sz w:val="22"/>
                <w:szCs w:val="22"/>
              </w:rPr>
            </w:pPr>
          </w:p>
        </w:tc>
      </w:tr>
      <w:tr w:rsidR="00B13EB5"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B13EB5" w:rsidRPr="00E26550" w:rsidRDefault="00E26E06" w:rsidP="00B824FB">
            <w:pPr>
              <w:jc w:val="center"/>
              <w:rPr>
                <w:rFonts w:ascii="Garamond" w:hAnsi="Garamond"/>
                <w:b/>
                <w:sz w:val="22"/>
                <w:szCs w:val="22"/>
              </w:rPr>
            </w:pPr>
            <w:r w:rsidRPr="00E26550">
              <w:rPr>
                <w:rFonts w:ascii="Garamond" w:hAnsi="Garamond"/>
                <w:b/>
                <w:sz w:val="22"/>
                <w:szCs w:val="22"/>
              </w:rPr>
              <w:lastRenderedPageBreak/>
              <w:t>1</w:t>
            </w:r>
            <w:r w:rsidR="00B824FB" w:rsidRPr="00E26550">
              <w:rPr>
                <w:rFonts w:ascii="Garamond" w:hAnsi="Garamond"/>
                <w:b/>
                <w:sz w:val="22"/>
                <w:szCs w:val="22"/>
              </w:rPr>
              <w:t>5</w:t>
            </w:r>
            <w:r w:rsidR="00B13EB5" w:rsidRPr="00E26550">
              <w:rPr>
                <w:rFonts w:ascii="Garamond" w:hAnsi="Garamond"/>
                <w:b/>
                <w:sz w:val="22"/>
                <w:szCs w:val="22"/>
              </w:rPr>
              <w:t>b*</w:t>
            </w:r>
          </w:p>
        </w:tc>
        <w:tc>
          <w:tcPr>
            <w:tcW w:w="8364" w:type="dxa"/>
            <w:tcBorders>
              <w:top w:val="single" w:sz="4" w:space="0" w:color="auto"/>
              <w:left w:val="single" w:sz="4" w:space="0" w:color="auto"/>
              <w:bottom w:val="single" w:sz="4" w:space="0" w:color="auto"/>
              <w:right w:val="single" w:sz="4" w:space="0" w:color="auto"/>
            </w:tcBorders>
            <w:vAlign w:val="center"/>
          </w:tcPr>
          <w:p w:rsidR="00B13EB5" w:rsidRPr="00E26E06" w:rsidRDefault="00B13EB5" w:rsidP="00037114">
            <w:pPr>
              <w:rPr>
                <w:rFonts w:ascii="Garamond" w:hAnsi="Garamond"/>
                <w:sz w:val="22"/>
                <w:szCs w:val="22"/>
              </w:rPr>
            </w:pPr>
            <w:r w:rsidRPr="00E26E06">
              <w:rPr>
                <w:rFonts w:ascii="Garamond" w:hAnsi="Garamond"/>
                <w:sz w:val="22"/>
                <w:szCs w:val="22"/>
              </w:rPr>
              <w:t xml:space="preserve">Możliwość oczekiwania </w:t>
            </w:r>
            <w:r w:rsidR="00037114" w:rsidRPr="00E26E06">
              <w:rPr>
                <w:rFonts w:ascii="Garamond" w:hAnsi="Garamond"/>
                <w:sz w:val="22"/>
                <w:szCs w:val="22"/>
              </w:rPr>
              <w:t>zaszczepionych</w:t>
            </w:r>
            <w:r w:rsidRPr="00E26E06">
              <w:rPr>
                <w:rFonts w:ascii="Garamond" w:hAnsi="Garamond"/>
                <w:sz w:val="22"/>
                <w:szCs w:val="22"/>
              </w:rPr>
              <w:t xml:space="preserve"> </w:t>
            </w:r>
            <w:r w:rsidR="004E2E3A" w:rsidRPr="00E26E06">
              <w:rPr>
                <w:rFonts w:ascii="Garamond" w:hAnsi="Garamond"/>
                <w:sz w:val="22"/>
                <w:szCs w:val="22"/>
              </w:rPr>
              <w:t>krwią pacjenta</w:t>
            </w:r>
            <w:r w:rsidRPr="00E26E06">
              <w:rPr>
                <w:rFonts w:ascii="Garamond" w:hAnsi="Garamond"/>
                <w:sz w:val="22"/>
                <w:szCs w:val="22"/>
              </w:rPr>
              <w:t xml:space="preserve"> butelek na umieszczenie w aparacie monitorującym namnażanie drobnoustrojów do 12 godzin</w:t>
            </w:r>
            <w:r w:rsidR="00135EA3"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B13EB5" w:rsidRPr="00E26E06" w:rsidRDefault="00B13EB5" w:rsidP="00493975">
            <w:pPr>
              <w:jc w:val="center"/>
              <w:rPr>
                <w:rFonts w:ascii="Garamond" w:hAnsi="Garamond"/>
                <w:sz w:val="22"/>
                <w:szCs w:val="22"/>
              </w:rPr>
            </w:pPr>
          </w:p>
        </w:tc>
      </w:tr>
      <w:tr w:rsidR="0094389F"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94389F" w:rsidRPr="00E26E06" w:rsidRDefault="00E26E06" w:rsidP="00B824FB">
            <w:pPr>
              <w:suppressAutoHyphens/>
              <w:jc w:val="center"/>
              <w:rPr>
                <w:rFonts w:ascii="Garamond" w:hAnsi="Garamond" w:cs="Arial Narrow"/>
                <w:sz w:val="22"/>
                <w:szCs w:val="22"/>
              </w:rPr>
            </w:pPr>
            <w:r>
              <w:rPr>
                <w:rFonts w:ascii="Garamond" w:hAnsi="Garamond" w:cs="Arial Narrow"/>
                <w:sz w:val="22"/>
                <w:szCs w:val="22"/>
              </w:rPr>
              <w:t>1</w:t>
            </w:r>
            <w:r w:rsidR="00B824FB">
              <w:rPr>
                <w:rFonts w:ascii="Garamond" w:hAnsi="Garamond" w:cs="Arial Narrow"/>
                <w:sz w:val="22"/>
                <w:szCs w:val="22"/>
              </w:rPr>
              <w:t>6</w:t>
            </w:r>
          </w:p>
        </w:tc>
        <w:tc>
          <w:tcPr>
            <w:tcW w:w="8364" w:type="dxa"/>
            <w:tcBorders>
              <w:top w:val="single" w:sz="4" w:space="0" w:color="auto"/>
              <w:left w:val="single" w:sz="4" w:space="0" w:color="auto"/>
              <w:bottom w:val="single" w:sz="4" w:space="0" w:color="auto"/>
              <w:right w:val="single" w:sz="4" w:space="0" w:color="auto"/>
            </w:tcBorders>
            <w:vAlign w:val="center"/>
          </w:tcPr>
          <w:p w:rsidR="0094389F" w:rsidRPr="00E26E06" w:rsidRDefault="00D123B0" w:rsidP="00493975">
            <w:pPr>
              <w:rPr>
                <w:rFonts w:ascii="Garamond" w:hAnsi="Garamond"/>
                <w:sz w:val="22"/>
                <w:szCs w:val="22"/>
              </w:rPr>
            </w:pPr>
            <w:r w:rsidRPr="00E26E06">
              <w:rPr>
                <w:rFonts w:ascii="Garamond" w:hAnsi="Garamond"/>
                <w:sz w:val="22"/>
                <w:szCs w:val="22"/>
              </w:rPr>
              <w:t>Dostępność certyfikatów kontroli jakości dla każdej serii butelek z podłożami hodowlanymi.</w:t>
            </w:r>
          </w:p>
        </w:tc>
        <w:tc>
          <w:tcPr>
            <w:tcW w:w="1275" w:type="dxa"/>
            <w:tcBorders>
              <w:top w:val="single" w:sz="4" w:space="0" w:color="auto"/>
              <w:left w:val="single" w:sz="4" w:space="0" w:color="auto"/>
              <w:bottom w:val="single" w:sz="4" w:space="0" w:color="auto"/>
              <w:right w:val="single" w:sz="4" w:space="0" w:color="auto"/>
            </w:tcBorders>
            <w:vAlign w:val="center"/>
          </w:tcPr>
          <w:p w:rsidR="0094389F" w:rsidRPr="00E26E06" w:rsidRDefault="0094389F" w:rsidP="00493975">
            <w:pPr>
              <w:suppressAutoHyphens/>
              <w:jc w:val="center"/>
              <w:rPr>
                <w:rFonts w:ascii="Garamond" w:hAnsi="Garamond" w:cs="Arial Narrow"/>
                <w:sz w:val="22"/>
                <w:szCs w:val="22"/>
              </w:rPr>
            </w:pPr>
          </w:p>
        </w:tc>
      </w:tr>
      <w:tr w:rsidR="000C1FE5"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C1FE5" w:rsidRPr="00E26E06" w:rsidRDefault="000C1FE5" w:rsidP="00493975">
            <w:pPr>
              <w:suppressAutoHyphens/>
              <w:jc w:val="center"/>
              <w:rPr>
                <w:rFonts w:ascii="Garamond" w:hAnsi="Garamond"/>
                <w:sz w:val="22"/>
                <w:szCs w:val="22"/>
              </w:rPr>
            </w:pPr>
          </w:p>
        </w:tc>
        <w:tc>
          <w:tcPr>
            <w:tcW w:w="8364" w:type="dxa"/>
            <w:tcBorders>
              <w:top w:val="single" w:sz="4" w:space="0" w:color="auto"/>
              <w:left w:val="single" w:sz="4" w:space="0" w:color="auto"/>
              <w:bottom w:val="single" w:sz="4" w:space="0" w:color="auto"/>
              <w:right w:val="single" w:sz="4" w:space="0" w:color="auto"/>
            </w:tcBorders>
            <w:vAlign w:val="center"/>
          </w:tcPr>
          <w:p w:rsidR="000C1FE5" w:rsidRPr="00E26E06" w:rsidRDefault="000C1FE5" w:rsidP="00037114">
            <w:pPr>
              <w:pStyle w:val="Nagwek3"/>
              <w:spacing w:before="120" w:after="120"/>
              <w:jc w:val="center"/>
              <w:rPr>
                <w:rFonts w:ascii="Garamond" w:hAnsi="Garamond"/>
                <w:b w:val="0"/>
                <w:color w:val="auto"/>
                <w:sz w:val="22"/>
                <w:szCs w:val="22"/>
                <w:u w:val="single"/>
              </w:rPr>
            </w:pPr>
            <w:r w:rsidRPr="00E26E06">
              <w:rPr>
                <w:rFonts w:ascii="Garamond" w:hAnsi="Garamond"/>
                <w:b w:val="0"/>
                <w:color w:val="auto"/>
                <w:sz w:val="22"/>
                <w:szCs w:val="22"/>
                <w:u w:val="single"/>
              </w:rPr>
              <w:t>Wymagania dla aparatu monitorującego podłoża w butelkach:</w:t>
            </w:r>
          </w:p>
        </w:tc>
        <w:tc>
          <w:tcPr>
            <w:tcW w:w="1275" w:type="dxa"/>
            <w:tcBorders>
              <w:top w:val="single" w:sz="4" w:space="0" w:color="auto"/>
              <w:left w:val="single" w:sz="4" w:space="0" w:color="auto"/>
              <w:bottom w:val="single" w:sz="4" w:space="0" w:color="auto"/>
              <w:right w:val="single" w:sz="4" w:space="0" w:color="auto"/>
            </w:tcBorders>
            <w:vAlign w:val="center"/>
          </w:tcPr>
          <w:p w:rsidR="000C1FE5" w:rsidRPr="00E26E06" w:rsidRDefault="000C1FE5" w:rsidP="00493975">
            <w:pPr>
              <w:suppressAutoHyphens/>
              <w:jc w:val="center"/>
              <w:rPr>
                <w:rFonts w:ascii="Garamond" w:hAnsi="Garamond"/>
                <w:sz w:val="22"/>
                <w:szCs w:val="22"/>
              </w:rPr>
            </w:pPr>
          </w:p>
        </w:tc>
      </w:tr>
      <w:tr w:rsidR="000C1FE5" w:rsidRPr="00E26E06" w:rsidTr="00E26E06">
        <w:trPr>
          <w:cantSplit/>
          <w:trHeight w:val="307"/>
        </w:trPr>
        <w:tc>
          <w:tcPr>
            <w:tcW w:w="567" w:type="dxa"/>
            <w:tcBorders>
              <w:top w:val="single" w:sz="4" w:space="0" w:color="auto"/>
              <w:left w:val="single" w:sz="4" w:space="0" w:color="auto"/>
              <w:bottom w:val="single" w:sz="4" w:space="0" w:color="auto"/>
              <w:right w:val="single" w:sz="4" w:space="0" w:color="auto"/>
            </w:tcBorders>
            <w:vAlign w:val="center"/>
          </w:tcPr>
          <w:p w:rsidR="000C1FE5" w:rsidRPr="00E26E06" w:rsidRDefault="00B824FB" w:rsidP="006920FD">
            <w:pPr>
              <w:suppressAutoHyphens/>
              <w:jc w:val="center"/>
              <w:rPr>
                <w:rFonts w:ascii="Garamond" w:hAnsi="Garamond"/>
                <w:sz w:val="22"/>
                <w:szCs w:val="22"/>
              </w:rPr>
            </w:pPr>
            <w:r>
              <w:rPr>
                <w:rFonts w:ascii="Garamond" w:hAnsi="Garamond"/>
                <w:sz w:val="22"/>
                <w:szCs w:val="22"/>
              </w:rPr>
              <w:t>17</w:t>
            </w:r>
          </w:p>
        </w:tc>
        <w:tc>
          <w:tcPr>
            <w:tcW w:w="8364" w:type="dxa"/>
            <w:tcBorders>
              <w:top w:val="single" w:sz="4" w:space="0" w:color="auto"/>
              <w:left w:val="single" w:sz="4" w:space="0" w:color="auto"/>
              <w:bottom w:val="single" w:sz="4" w:space="0" w:color="auto"/>
              <w:right w:val="single" w:sz="4" w:space="0" w:color="auto"/>
            </w:tcBorders>
            <w:vAlign w:val="center"/>
          </w:tcPr>
          <w:p w:rsidR="000C1FE5" w:rsidRPr="00E26E06" w:rsidRDefault="000C1FE5" w:rsidP="00B428AC">
            <w:pPr>
              <w:rPr>
                <w:rFonts w:ascii="Garamond" w:hAnsi="Garamond"/>
                <w:sz w:val="22"/>
                <w:szCs w:val="22"/>
              </w:rPr>
            </w:pPr>
            <w:r w:rsidRPr="00E26E06">
              <w:rPr>
                <w:rFonts w:ascii="Garamond" w:hAnsi="Garamond"/>
                <w:sz w:val="22"/>
                <w:szCs w:val="22"/>
              </w:rPr>
              <w:t xml:space="preserve">Automatyczny analizator umożliwiający </w:t>
            </w:r>
            <w:r w:rsidR="00B428AC" w:rsidRPr="00E26E06">
              <w:rPr>
                <w:rFonts w:ascii="Garamond" w:hAnsi="Garamond"/>
                <w:sz w:val="22"/>
                <w:szCs w:val="22"/>
              </w:rPr>
              <w:t xml:space="preserve">inkubację i </w:t>
            </w:r>
            <w:r w:rsidRPr="00E26E06">
              <w:rPr>
                <w:rFonts w:ascii="Garamond" w:hAnsi="Garamond"/>
                <w:sz w:val="22"/>
                <w:szCs w:val="22"/>
              </w:rPr>
              <w:t>monitorowanie zaszczepionych materiałem badanym butelek z podłożami hodowlanymi oraz wyk</w:t>
            </w:r>
            <w:r w:rsidR="007B683C" w:rsidRPr="00E26E06">
              <w:rPr>
                <w:rFonts w:ascii="Garamond" w:hAnsi="Garamond"/>
                <w:sz w:val="22"/>
                <w:szCs w:val="22"/>
              </w:rPr>
              <w:t>rywanie w nich drobnoustrojów z </w:t>
            </w:r>
            <w:r w:rsidRPr="00E26E06">
              <w:rPr>
                <w:rFonts w:ascii="Garamond" w:hAnsi="Garamond"/>
                <w:sz w:val="22"/>
                <w:szCs w:val="22"/>
              </w:rPr>
              <w:t>zachowaniem warunków tlenowych i beztlenowych</w:t>
            </w:r>
            <w:r w:rsidR="007B683C" w:rsidRPr="00E26E06">
              <w:rPr>
                <w:rFonts w:ascii="Garamond" w:hAnsi="Garamond"/>
                <w:sz w:val="22"/>
                <w:szCs w:val="22"/>
              </w:rPr>
              <w:t xml:space="preserve"> hodowli</w:t>
            </w:r>
            <w:r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0C1FE5" w:rsidRPr="00E26E06" w:rsidRDefault="000C1FE5" w:rsidP="006920FD">
            <w:pPr>
              <w:suppressAutoHyphens/>
              <w:jc w:val="center"/>
              <w:rPr>
                <w:rFonts w:ascii="Garamond" w:hAnsi="Garamond" w:cs="Arial Narrow"/>
                <w:sz w:val="22"/>
                <w:szCs w:val="22"/>
              </w:rPr>
            </w:pPr>
          </w:p>
        </w:tc>
      </w:tr>
      <w:tr w:rsidR="00A07C7E"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A07C7E" w:rsidRPr="00E26E06" w:rsidRDefault="00B824FB" w:rsidP="009C64A1">
            <w:pPr>
              <w:suppressAutoHyphens/>
              <w:jc w:val="center"/>
              <w:rPr>
                <w:rFonts w:ascii="Garamond" w:hAnsi="Garamond"/>
                <w:sz w:val="22"/>
                <w:szCs w:val="22"/>
              </w:rPr>
            </w:pPr>
            <w:r>
              <w:rPr>
                <w:rFonts w:ascii="Garamond" w:hAnsi="Garamond"/>
                <w:sz w:val="22"/>
                <w:szCs w:val="22"/>
              </w:rPr>
              <w:t>18</w:t>
            </w:r>
          </w:p>
        </w:tc>
        <w:tc>
          <w:tcPr>
            <w:tcW w:w="8364" w:type="dxa"/>
            <w:tcBorders>
              <w:top w:val="single" w:sz="4" w:space="0" w:color="auto"/>
              <w:left w:val="single" w:sz="4" w:space="0" w:color="auto"/>
              <w:bottom w:val="single" w:sz="4" w:space="0" w:color="auto"/>
              <w:right w:val="single" w:sz="4" w:space="0" w:color="auto"/>
            </w:tcBorders>
            <w:vAlign w:val="center"/>
          </w:tcPr>
          <w:p w:rsidR="00A07C7E" w:rsidRPr="00E26E06" w:rsidRDefault="00A07C7E" w:rsidP="009C64A1">
            <w:pPr>
              <w:rPr>
                <w:rFonts w:ascii="Garamond" w:hAnsi="Garamond"/>
                <w:sz w:val="22"/>
                <w:szCs w:val="22"/>
              </w:rPr>
            </w:pPr>
            <w:r w:rsidRPr="00E26E06">
              <w:rPr>
                <w:rFonts w:ascii="Garamond" w:hAnsi="Garamond"/>
                <w:sz w:val="22"/>
                <w:szCs w:val="22"/>
              </w:rPr>
              <w:t>Analizator fabrycznie nowy (rok produkcji 2018 lub 2019)</w:t>
            </w:r>
            <w:r w:rsidR="00B76E4A"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A07C7E" w:rsidRPr="00E26E06" w:rsidRDefault="00A07C7E" w:rsidP="009C64A1">
            <w:pPr>
              <w:suppressAutoHyphens/>
              <w:jc w:val="center"/>
              <w:rPr>
                <w:rFonts w:ascii="Garamond" w:hAnsi="Garamond"/>
                <w:sz w:val="22"/>
                <w:szCs w:val="22"/>
              </w:rPr>
            </w:pPr>
          </w:p>
        </w:tc>
      </w:tr>
      <w:tr w:rsidR="00A07C7E"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A07C7E" w:rsidRPr="00E26E06" w:rsidRDefault="00B824FB" w:rsidP="00493975">
            <w:pPr>
              <w:suppressAutoHyphens/>
              <w:jc w:val="center"/>
              <w:rPr>
                <w:rFonts w:ascii="Garamond" w:hAnsi="Garamond"/>
                <w:sz w:val="22"/>
                <w:szCs w:val="22"/>
              </w:rPr>
            </w:pPr>
            <w:r>
              <w:rPr>
                <w:rFonts w:ascii="Garamond" w:hAnsi="Garamond"/>
                <w:sz w:val="22"/>
                <w:szCs w:val="22"/>
              </w:rPr>
              <w:t>19</w:t>
            </w:r>
          </w:p>
        </w:tc>
        <w:tc>
          <w:tcPr>
            <w:tcW w:w="8364" w:type="dxa"/>
            <w:tcBorders>
              <w:top w:val="single" w:sz="4" w:space="0" w:color="auto"/>
              <w:left w:val="single" w:sz="4" w:space="0" w:color="auto"/>
              <w:bottom w:val="single" w:sz="4" w:space="0" w:color="auto"/>
              <w:right w:val="single" w:sz="4" w:space="0" w:color="auto"/>
            </w:tcBorders>
            <w:vAlign w:val="center"/>
          </w:tcPr>
          <w:p w:rsidR="00A07C7E" w:rsidRPr="00E26E06" w:rsidRDefault="00A07C7E" w:rsidP="00E655EC">
            <w:pPr>
              <w:rPr>
                <w:rFonts w:ascii="Garamond" w:hAnsi="Garamond"/>
                <w:sz w:val="22"/>
                <w:szCs w:val="22"/>
              </w:rPr>
            </w:pPr>
            <w:r w:rsidRPr="00E26E06">
              <w:rPr>
                <w:rFonts w:ascii="Garamond" w:hAnsi="Garamond"/>
                <w:sz w:val="22"/>
                <w:szCs w:val="22"/>
              </w:rPr>
              <w:t>Wymagana liczba komór inkubacyjno-monitorujących dla butelek z podłożami: minimum 700</w:t>
            </w:r>
          </w:p>
        </w:tc>
        <w:tc>
          <w:tcPr>
            <w:tcW w:w="1275" w:type="dxa"/>
            <w:tcBorders>
              <w:top w:val="single" w:sz="4" w:space="0" w:color="auto"/>
              <w:left w:val="single" w:sz="4" w:space="0" w:color="auto"/>
              <w:bottom w:val="single" w:sz="4" w:space="0" w:color="auto"/>
              <w:right w:val="single" w:sz="4" w:space="0" w:color="auto"/>
            </w:tcBorders>
            <w:vAlign w:val="center"/>
          </w:tcPr>
          <w:p w:rsidR="00A07C7E" w:rsidRPr="00E26E06" w:rsidRDefault="00A07C7E" w:rsidP="00493975">
            <w:pPr>
              <w:suppressAutoHyphens/>
              <w:jc w:val="center"/>
              <w:rPr>
                <w:rFonts w:ascii="Garamond" w:hAnsi="Garamond"/>
                <w:sz w:val="22"/>
                <w:szCs w:val="22"/>
              </w:rPr>
            </w:pPr>
          </w:p>
        </w:tc>
      </w:tr>
      <w:tr w:rsidR="00A07C7E"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A07C7E" w:rsidRPr="00E26E06" w:rsidRDefault="00B824FB" w:rsidP="009C64A1">
            <w:pPr>
              <w:suppressAutoHyphens/>
              <w:jc w:val="center"/>
              <w:rPr>
                <w:rFonts w:ascii="Garamond" w:hAnsi="Garamond"/>
                <w:sz w:val="22"/>
                <w:szCs w:val="22"/>
              </w:rPr>
            </w:pPr>
            <w:r>
              <w:rPr>
                <w:rFonts w:ascii="Garamond" w:hAnsi="Garamond"/>
                <w:sz w:val="22"/>
                <w:szCs w:val="22"/>
              </w:rPr>
              <w:t>20</w:t>
            </w:r>
          </w:p>
        </w:tc>
        <w:tc>
          <w:tcPr>
            <w:tcW w:w="8364" w:type="dxa"/>
            <w:tcBorders>
              <w:top w:val="single" w:sz="4" w:space="0" w:color="auto"/>
              <w:left w:val="single" w:sz="4" w:space="0" w:color="auto"/>
              <w:bottom w:val="single" w:sz="4" w:space="0" w:color="auto"/>
              <w:right w:val="single" w:sz="4" w:space="0" w:color="auto"/>
            </w:tcBorders>
            <w:vAlign w:val="center"/>
          </w:tcPr>
          <w:p w:rsidR="00A07C7E" w:rsidRPr="00E26E06" w:rsidRDefault="00A07C7E" w:rsidP="009C64A1">
            <w:pPr>
              <w:rPr>
                <w:rFonts w:ascii="Garamond" w:hAnsi="Garamond"/>
                <w:sz w:val="22"/>
                <w:szCs w:val="22"/>
              </w:rPr>
            </w:pPr>
            <w:r w:rsidRPr="00E26E06">
              <w:rPr>
                <w:rFonts w:ascii="Garamond" w:hAnsi="Garamond"/>
                <w:sz w:val="22"/>
                <w:szCs w:val="22"/>
              </w:rPr>
              <w:t>Analizator typu modułowego (segmentowego), instalowany na podstawie (blacie roboczym), pozwalający na wykonywanie czynności serwisowych, lub napraw poszczególnych modułów inkubacyjnych bez przerywania pracy pozostałych modułów inkubacyjnych aparatu. Wymagana liczba oddzielnych modułów inkubacyjnych: minimum 3</w:t>
            </w:r>
          </w:p>
        </w:tc>
        <w:tc>
          <w:tcPr>
            <w:tcW w:w="1275" w:type="dxa"/>
            <w:tcBorders>
              <w:top w:val="single" w:sz="4" w:space="0" w:color="auto"/>
              <w:left w:val="single" w:sz="4" w:space="0" w:color="auto"/>
              <w:bottom w:val="single" w:sz="4" w:space="0" w:color="auto"/>
              <w:right w:val="single" w:sz="4" w:space="0" w:color="auto"/>
            </w:tcBorders>
            <w:vAlign w:val="center"/>
          </w:tcPr>
          <w:p w:rsidR="00A07C7E" w:rsidRPr="00E26E06" w:rsidRDefault="00A07C7E" w:rsidP="009C64A1">
            <w:pPr>
              <w:suppressAutoHyphens/>
              <w:jc w:val="center"/>
              <w:rPr>
                <w:rFonts w:ascii="Garamond" w:hAnsi="Garamond"/>
                <w:sz w:val="22"/>
                <w:szCs w:val="22"/>
              </w:rPr>
            </w:pPr>
          </w:p>
        </w:tc>
      </w:tr>
      <w:tr w:rsidR="00A127EA"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A127EA" w:rsidRPr="00E26E06" w:rsidRDefault="00B824FB" w:rsidP="00493975">
            <w:pPr>
              <w:suppressAutoHyphens/>
              <w:jc w:val="center"/>
              <w:rPr>
                <w:rFonts w:ascii="Garamond" w:hAnsi="Garamond"/>
                <w:sz w:val="22"/>
                <w:szCs w:val="22"/>
              </w:rPr>
            </w:pPr>
            <w:r>
              <w:rPr>
                <w:rFonts w:ascii="Garamond" w:hAnsi="Garamond"/>
                <w:sz w:val="22"/>
                <w:szCs w:val="22"/>
              </w:rPr>
              <w:t>21</w:t>
            </w:r>
          </w:p>
        </w:tc>
        <w:tc>
          <w:tcPr>
            <w:tcW w:w="8364"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52339E">
            <w:pPr>
              <w:rPr>
                <w:rFonts w:ascii="Garamond" w:hAnsi="Garamond"/>
                <w:sz w:val="22"/>
                <w:szCs w:val="22"/>
              </w:rPr>
            </w:pPr>
            <w:r w:rsidRPr="00E26E06">
              <w:rPr>
                <w:rFonts w:ascii="Garamond" w:hAnsi="Garamond"/>
                <w:sz w:val="22"/>
                <w:szCs w:val="22"/>
              </w:rPr>
              <w:t xml:space="preserve">Analizator </w:t>
            </w:r>
            <w:r w:rsidR="0052339E" w:rsidRPr="00E26E06">
              <w:rPr>
                <w:rFonts w:ascii="Garamond" w:hAnsi="Garamond"/>
                <w:sz w:val="22"/>
                <w:szCs w:val="22"/>
              </w:rPr>
              <w:t xml:space="preserve">gotowy do pracy </w:t>
            </w:r>
            <w:r w:rsidRPr="00E26E06">
              <w:rPr>
                <w:rFonts w:ascii="Garamond" w:hAnsi="Garamond"/>
                <w:sz w:val="22"/>
                <w:szCs w:val="22"/>
              </w:rPr>
              <w:t xml:space="preserve">(poszczególne elementy systemu modułowego zestawione obok siebie) mieści się na blacie roboczym (podstawie) o </w:t>
            </w:r>
            <w:r w:rsidRPr="004A267E">
              <w:rPr>
                <w:rFonts w:ascii="Garamond" w:hAnsi="Garamond"/>
                <w:sz w:val="22"/>
                <w:szCs w:val="22"/>
              </w:rPr>
              <w:t xml:space="preserve">wymiarach: </w:t>
            </w:r>
            <w:r w:rsidR="00471646" w:rsidRPr="004A267E">
              <w:rPr>
                <w:rFonts w:ascii="Garamond" w:hAnsi="Garamond"/>
                <w:sz w:val="22"/>
                <w:szCs w:val="22"/>
              </w:rPr>
              <w:t>210</w:t>
            </w:r>
            <w:r w:rsidRPr="004A267E">
              <w:rPr>
                <w:rFonts w:ascii="Garamond" w:hAnsi="Garamond"/>
                <w:sz w:val="22"/>
                <w:szCs w:val="22"/>
              </w:rPr>
              <w:t xml:space="preserve"> cm (szer.) x </w:t>
            </w:r>
            <w:r w:rsidR="00E23CF4" w:rsidRPr="004A267E">
              <w:rPr>
                <w:rFonts w:ascii="Garamond" w:hAnsi="Garamond"/>
                <w:sz w:val="22"/>
                <w:szCs w:val="22"/>
              </w:rPr>
              <w:t>80</w:t>
            </w:r>
            <w:r w:rsidRPr="004A267E">
              <w:rPr>
                <w:rFonts w:ascii="Garamond" w:hAnsi="Garamond"/>
                <w:sz w:val="22"/>
                <w:szCs w:val="22"/>
              </w:rPr>
              <w:t xml:space="preserve"> cm (głęb.)</w:t>
            </w:r>
          </w:p>
        </w:tc>
        <w:tc>
          <w:tcPr>
            <w:tcW w:w="1275"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493975">
            <w:pPr>
              <w:suppressAutoHyphens/>
              <w:jc w:val="center"/>
              <w:rPr>
                <w:rFonts w:ascii="Garamond" w:hAnsi="Garamond"/>
                <w:sz w:val="22"/>
                <w:szCs w:val="22"/>
              </w:rPr>
            </w:pPr>
          </w:p>
        </w:tc>
      </w:tr>
      <w:tr w:rsidR="00A127EA" w:rsidRPr="00E26E06" w:rsidTr="00E26E06">
        <w:trPr>
          <w:cantSplit/>
          <w:trHeight w:val="307"/>
        </w:trPr>
        <w:tc>
          <w:tcPr>
            <w:tcW w:w="567" w:type="dxa"/>
            <w:tcBorders>
              <w:top w:val="single" w:sz="4" w:space="0" w:color="auto"/>
              <w:left w:val="single" w:sz="4" w:space="0" w:color="auto"/>
              <w:bottom w:val="single" w:sz="4" w:space="0" w:color="auto"/>
              <w:right w:val="single" w:sz="4" w:space="0" w:color="auto"/>
            </w:tcBorders>
            <w:vAlign w:val="center"/>
          </w:tcPr>
          <w:p w:rsidR="00A127EA" w:rsidRPr="00E26E06" w:rsidRDefault="00B824FB" w:rsidP="00F07C35">
            <w:pPr>
              <w:suppressAutoHyphens/>
              <w:jc w:val="center"/>
              <w:rPr>
                <w:rFonts w:ascii="Garamond" w:hAnsi="Garamond"/>
                <w:sz w:val="22"/>
                <w:szCs w:val="22"/>
              </w:rPr>
            </w:pPr>
            <w:r>
              <w:rPr>
                <w:rFonts w:ascii="Garamond" w:hAnsi="Garamond"/>
                <w:sz w:val="22"/>
                <w:szCs w:val="22"/>
              </w:rPr>
              <w:t>22</w:t>
            </w:r>
          </w:p>
        </w:tc>
        <w:tc>
          <w:tcPr>
            <w:tcW w:w="8364"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9C64A1">
            <w:pPr>
              <w:rPr>
                <w:rFonts w:ascii="Garamond" w:hAnsi="Garamond"/>
                <w:sz w:val="22"/>
                <w:szCs w:val="22"/>
              </w:rPr>
            </w:pPr>
            <w:r w:rsidRPr="00E26E06">
              <w:rPr>
                <w:rFonts w:ascii="Garamond" w:hAnsi="Garamond"/>
                <w:sz w:val="22"/>
                <w:szCs w:val="22"/>
              </w:rPr>
              <w:t>Analizator wyposażony w jednostkę sterującą wyposażoną w ekran dotykowy (może być zintegrowana, lub stanowić oddzielny moduł analizatora) oraz czytnik kodów kreskowych.</w:t>
            </w:r>
          </w:p>
        </w:tc>
        <w:tc>
          <w:tcPr>
            <w:tcW w:w="1275"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F07C35">
            <w:pPr>
              <w:suppressAutoHyphens/>
              <w:jc w:val="center"/>
              <w:rPr>
                <w:rFonts w:ascii="Garamond" w:hAnsi="Garamond"/>
                <w:sz w:val="22"/>
                <w:szCs w:val="22"/>
              </w:rPr>
            </w:pPr>
          </w:p>
        </w:tc>
      </w:tr>
      <w:tr w:rsidR="00A127EA" w:rsidRPr="00E26E06" w:rsidTr="00E26E06">
        <w:trPr>
          <w:cantSplit/>
          <w:trHeight w:val="307"/>
        </w:trPr>
        <w:tc>
          <w:tcPr>
            <w:tcW w:w="567" w:type="dxa"/>
            <w:tcBorders>
              <w:top w:val="single" w:sz="4" w:space="0" w:color="auto"/>
              <w:left w:val="single" w:sz="4" w:space="0" w:color="auto"/>
              <w:bottom w:val="single" w:sz="4" w:space="0" w:color="auto"/>
              <w:right w:val="single" w:sz="4" w:space="0" w:color="auto"/>
            </w:tcBorders>
            <w:vAlign w:val="center"/>
          </w:tcPr>
          <w:p w:rsidR="00A127EA" w:rsidRPr="00E26E06" w:rsidRDefault="00B824FB" w:rsidP="00F07C35">
            <w:pPr>
              <w:suppressAutoHyphens/>
              <w:jc w:val="center"/>
              <w:rPr>
                <w:rFonts w:ascii="Garamond" w:hAnsi="Garamond"/>
                <w:sz w:val="22"/>
                <w:szCs w:val="22"/>
              </w:rPr>
            </w:pPr>
            <w:r>
              <w:rPr>
                <w:rFonts w:ascii="Garamond" w:hAnsi="Garamond"/>
                <w:sz w:val="22"/>
                <w:szCs w:val="22"/>
              </w:rPr>
              <w:t>23</w:t>
            </w:r>
          </w:p>
        </w:tc>
        <w:tc>
          <w:tcPr>
            <w:tcW w:w="8364"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9C64A1">
            <w:pPr>
              <w:rPr>
                <w:rFonts w:ascii="Garamond" w:hAnsi="Garamond"/>
                <w:sz w:val="22"/>
                <w:szCs w:val="22"/>
              </w:rPr>
            </w:pPr>
            <w:r w:rsidRPr="00E26E06">
              <w:rPr>
                <w:rFonts w:ascii="Garamond" w:hAnsi="Garamond"/>
                <w:sz w:val="22"/>
                <w:szCs w:val="22"/>
              </w:rPr>
              <w:t>Identyfikacja w analizatorze poszczególnych butelek za pomocą kodu kreskowego indywidualnego dla każdej butelki, z możliwością identyfikacji tożsamości pacjenta na monitorze jednostki sterującej po odczycie kodu kreskowego przez czytnik aparatu.</w:t>
            </w:r>
          </w:p>
        </w:tc>
        <w:tc>
          <w:tcPr>
            <w:tcW w:w="1275"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F07C35">
            <w:pPr>
              <w:suppressAutoHyphens/>
              <w:jc w:val="center"/>
              <w:rPr>
                <w:rFonts w:ascii="Garamond" w:hAnsi="Garamond"/>
                <w:sz w:val="22"/>
                <w:szCs w:val="22"/>
              </w:rPr>
            </w:pPr>
          </w:p>
        </w:tc>
      </w:tr>
      <w:tr w:rsidR="00A127EA"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A127EA" w:rsidRPr="00E26E06" w:rsidRDefault="00B824FB" w:rsidP="00493975">
            <w:pPr>
              <w:suppressAutoHyphens/>
              <w:jc w:val="center"/>
              <w:rPr>
                <w:rFonts w:ascii="Garamond" w:hAnsi="Garamond"/>
                <w:sz w:val="22"/>
                <w:szCs w:val="22"/>
              </w:rPr>
            </w:pPr>
            <w:r>
              <w:rPr>
                <w:rFonts w:ascii="Garamond" w:hAnsi="Garamond"/>
                <w:sz w:val="22"/>
                <w:szCs w:val="22"/>
              </w:rPr>
              <w:t>24</w:t>
            </w:r>
          </w:p>
        </w:tc>
        <w:tc>
          <w:tcPr>
            <w:tcW w:w="8364"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9C64A1">
            <w:pPr>
              <w:rPr>
                <w:rFonts w:ascii="Garamond" w:hAnsi="Garamond"/>
                <w:sz w:val="22"/>
                <w:szCs w:val="22"/>
              </w:rPr>
            </w:pPr>
            <w:r w:rsidRPr="00E26E06">
              <w:rPr>
                <w:rFonts w:ascii="Garamond" w:hAnsi="Garamond"/>
                <w:sz w:val="22"/>
                <w:szCs w:val="22"/>
              </w:rPr>
              <w:t>Możliwość podglądu krzywej pomiaru (danych pomiarowych) dla poszczególnych butelek na monitorze jednostki sterującej.</w:t>
            </w:r>
          </w:p>
        </w:tc>
        <w:tc>
          <w:tcPr>
            <w:tcW w:w="1275"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493975">
            <w:pPr>
              <w:suppressAutoHyphens/>
              <w:jc w:val="center"/>
              <w:rPr>
                <w:rFonts w:ascii="Garamond" w:hAnsi="Garamond"/>
                <w:sz w:val="22"/>
                <w:szCs w:val="22"/>
              </w:rPr>
            </w:pPr>
          </w:p>
        </w:tc>
      </w:tr>
      <w:tr w:rsidR="00A127EA"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A127EA" w:rsidRPr="00E26E06" w:rsidRDefault="00B824FB" w:rsidP="00493975">
            <w:pPr>
              <w:suppressAutoHyphens/>
              <w:jc w:val="center"/>
              <w:rPr>
                <w:rFonts w:ascii="Garamond" w:hAnsi="Garamond"/>
                <w:sz w:val="22"/>
                <w:szCs w:val="22"/>
              </w:rPr>
            </w:pPr>
            <w:r>
              <w:rPr>
                <w:rFonts w:ascii="Garamond" w:hAnsi="Garamond"/>
                <w:sz w:val="22"/>
                <w:szCs w:val="22"/>
              </w:rPr>
              <w:t>25</w:t>
            </w:r>
          </w:p>
        </w:tc>
        <w:tc>
          <w:tcPr>
            <w:tcW w:w="8364"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1055A6">
            <w:pPr>
              <w:rPr>
                <w:rFonts w:ascii="Garamond" w:hAnsi="Garamond"/>
                <w:sz w:val="22"/>
                <w:szCs w:val="22"/>
              </w:rPr>
            </w:pPr>
            <w:r w:rsidRPr="00E26E06">
              <w:rPr>
                <w:rFonts w:ascii="Garamond" w:hAnsi="Garamond"/>
                <w:sz w:val="22"/>
                <w:szCs w:val="22"/>
              </w:rPr>
              <w:t>Możliwość przenoszenia monitorowanych butelek pomiędzy poszczególnymi komorami oraz modułami z zapewnieniem ciągłości zapisu danych dotyczących monitorowan</w:t>
            </w:r>
            <w:r w:rsidR="001055A6" w:rsidRPr="00E26E06">
              <w:rPr>
                <w:rFonts w:ascii="Garamond" w:hAnsi="Garamond"/>
                <w:sz w:val="22"/>
                <w:szCs w:val="22"/>
              </w:rPr>
              <w:t>ych</w:t>
            </w:r>
            <w:r w:rsidRPr="00E26E06">
              <w:rPr>
                <w:rFonts w:ascii="Garamond" w:hAnsi="Garamond"/>
                <w:sz w:val="22"/>
                <w:szCs w:val="22"/>
              </w:rPr>
              <w:t xml:space="preserve"> butel</w:t>
            </w:r>
            <w:r w:rsidR="001055A6" w:rsidRPr="00E26E06">
              <w:rPr>
                <w:rFonts w:ascii="Garamond" w:hAnsi="Garamond"/>
                <w:sz w:val="22"/>
                <w:szCs w:val="22"/>
              </w:rPr>
              <w:t>ek</w:t>
            </w:r>
            <w:r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493975">
            <w:pPr>
              <w:suppressAutoHyphens/>
              <w:jc w:val="center"/>
              <w:rPr>
                <w:rFonts w:ascii="Garamond" w:hAnsi="Garamond"/>
                <w:sz w:val="22"/>
                <w:szCs w:val="22"/>
              </w:rPr>
            </w:pPr>
          </w:p>
        </w:tc>
      </w:tr>
      <w:tr w:rsidR="00A127EA"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A127EA" w:rsidRPr="00E26E06" w:rsidRDefault="00B824FB" w:rsidP="00493975">
            <w:pPr>
              <w:suppressAutoHyphens/>
              <w:jc w:val="center"/>
              <w:rPr>
                <w:rFonts w:ascii="Garamond" w:hAnsi="Garamond"/>
                <w:sz w:val="22"/>
                <w:szCs w:val="22"/>
              </w:rPr>
            </w:pPr>
            <w:r>
              <w:rPr>
                <w:rFonts w:ascii="Garamond" w:hAnsi="Garamond"/>
                <w:sz w:val="22"/>
                <w:szCs w:val="22"/>
              </w:rPr>
              <w:t>26</w:t>
            </w:r>
          </w:p>
        </w:tc>
        <w:tc>
          <w:tcPr>
            <w:tcW w:w="8364"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EC17EA">
            <w:pPr>
              <w:rPr>
                <w:rFonts w:ascii="Garamond" w:hAnsi="Garamond"/>
                <w:sz w:val="22"/>
                <w:szCs w:val="22"/>
              </w:rPr>
            </w:pPr>
            <w:r w:rsidRPr="00E26E06">
              <w:rPr>
                <w:rFonts w:ascii="Garamond" w:hAnsi="Garamond"/>
                <w:sz w:val="22"/>
                <w:szCs w:val="22"/>
              </w:rPr>
              <w:t>System automatycznej kalibracji komory pomiarowej (przygotowanie do pracy) po zakończeniu monitorowania poprzedniej butelki.</w:t>
            </w:r>
            <w:r w:rsidR="00EC17EA" w:rsidRPr="00E26E06">
              <w:rPr>
                <w:rFonts w:ascii="Garamond" w:hAnsi="Garamond"/>
                <w:sz w:val="22"/>
                <w:szCs w:val="22"/>
              </w:rPr>
              <w:t xml:space="preserve"> Możliwość manualnej kalibracji wybranej komory na żądanie użytkownika.</w:t>
            </w:r>
          </w:p>
        </w:tc>
        <w:tc>
          <w:tcPr>
            <w:tcW w:w="1275"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493975">
            <w:pPr>
              <w:suppressAutoHyphens/>
              <w:jc w:val="center"/>
              <w:rPr>
                <w:rFonts w:ascii="Garamond" w:hAnsi="Garamond"/>
                <w:sz w:val="22"/>
                <w:szCs w:val="22"/>
              </w:rPr>
            </w:pPr>
          </w:p>
        </w:tc>
      </w:tr>
      <w:tr w:rsidR="00A127EA"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A127EA" w:rsidRPr="00E26E06" w:rsidRDefault="00B824FB" w:rsidP="00493975">
            <w:pPr>
              <w:suppressAutoHyphens/>
              <w:jc w:val="center"/>
              <w:rPr>
                <w:rFonts w:ascii="Garamond" w:hAnsi="Garamond"/>
                <w:sz w:val="22"/>
                <w:szCs w:val="22"/>
              </w:rPr>
            </w:pPr>
            <w:r>
              <w:rPr>
                <w:rFonts w:ascii="Garamond" w:hAnsi="Garamond"/>
                <w:sz w:val="22"/>
                <w:szCs w:val="22"/>
              </w:rPr>
              <w:t>27</w:t>
            </w:r>
          </w:p>
        </w:tc>
        <w:tc>
          <w:tcPr>
            <w:tcW w:w="8364"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9C64A1">
            <w:pPr>
              <w:rPr>
                <w:rFonts w:ascii="Garamond" w:hAnsi="Garamond"/>
                <w:sz w:val="22"/>
                <w:szCs w:val="22"/>
              </w:rPr>
            </w:pPr>
            <w:r w:rsidRPr="00E26E06">
              <w:rPr>
                <w:rFonts w:ascii="Garamond" w:hAnsi="Garamond"/>
                <w:sz w:val="22"/>
                <w:szCs w:val="22"/>
              </w:rPr>
              <w:t>Możliwość rozpoczynania następnych badań (dokładania kolejnych butelek) bez przerywania pracy analizatora</w:t>
            </w:r>
          </w:p>
        </w:tc>
        <w:tc>
          <w:tcPr>
            <w:tcW w:w="1275"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493975">
            <w:pPr>
              <w:suppressAutoHyphens/>
              <w:jc w:val="center"/>
              <w:rPr>
                <w:rFonts w:ascii="Garamond" w:hAnsi="Garamond"/>
                <w:sz w:val="22"/>
                <w:szCs w:val="22"/>
              </w:rPr>
            </w:pPr>
          </w:p>
        </w:tc>
      </w:tr>
      <w:tr w:rsidR="00A127EA"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A127EA" w:rsidRPr="00E26E06" w:rsidRDefault="00B824FB" w:rsidP="00F07C35">
            <w:pPr>
              <w:suppressAutoHyphens/>
              <w:jc w:val="center"/>
              <w:rPr>
                <w:rFonts w:ascii="Garamond" w:hAnsi="Garamond"/>
                <w:sz w:val="22"/>
                <w:szCs w:val="22"/>
              </w:rPr>
            </w:pPr>
            <w:r>
              <w:rPr>
                <w:rFonts w:ascii="Garamond" w:hAnsi="Garamond"/>
                <w:sz w:val="22"/>
                <w:szCs w:val="22"/>
              </w:rPr>
              <w:t>28</w:t>
            </w:r>
          </w:p>
        </w:tc>
        <w:tc>
          <w:tcPr>
            <w:tcW w:w="8364"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9C64A1">
            <w:pPr>
              <w:rPr>
                <w:rFonts w:ascii="Garamond" w:hAnsi="Garamond"/>
                <w:sz w:val="22"/>
                <w:szCs w:val="22"/>
              </w:rPr>
            </w:pPr>
            <w:r w:rsidRPr="00E26E06">
              <w:rPr>
                <w:rFonts w:ascii="Garamond" w:hAnsi="Garamond"/>
                <w:sz w:val="22"/>
                <w:szCs w:val="22"/>
              </w:rPr>
              <w:t>Możliwość definiowania domyślnego czasu inkubacji dla danego rodzaju butelek oraz modyfikacji czasu inkubacji dla wybranej butelki minimum w zakresie od 1-30 dni</w:t>
            </w:r>
          </w:p>
        </w:tc>
        <w:tc>
          <w:tcPr>
            <w:tcW w:w="1275"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F07C35">
            <w:pPr>
              <w:suppressAutoHyphens/>
              <w:jc w:val="center"/>
              <w:rPr>
                <w:rFonts w:ascii="Garamond" w:hAnsi="Garamond"/>
                <w:sz w:val="22"/>
                <w:szCs w:val="22"/>
              </w:rPr>
            </w:pPr>
          </w:p>
        </w:tc>
      </w:tr>
      <w:tr w:rsidR="00A127EA" w:rsidRPr="00E26E06" w:rsidTr="00E26E06">
        <w:trPr>
          <w:cantSplit/>
          <w:trHeight w:val="426"/>
        </w:trPr>
        <w:tc>
          <w:tcPr>
            <w:tcW w:w="567" w:type="dxa"/>
            <w:tcBorders>
              <w:top w:val="single" w:sz="4" w:space="0" w:color="auto"/>
              <w:left w:val="single" w:sz="4" w:space="0" w:color="auto"/>
              <w:bottom w:val="single" w:sz="4" w:space="0" w:color="auto"/>
              <w:right w:val="single" w:sz="4" w:space="0" w:color="auto"/>
            </w:tcBorders>
            <w:vAlign w:val="center"/>
          </w:tcPr>
          <w:p w:rsidR="00A127EA" w:rsidRPr="00E26E06" w:rsidRDefault="00B824FB" w:rsidP="00493975">
            <w:pPr>
              <w:suppressAutoHyphens/>
              <w:jc w:val="center"/>
              <w:rPr>
                <w:rFonts w:ascii="Garamond" w:hAnsi="Garamond"/>
                <w:sz w:val="22"/>
                <w:szCs w:val="22"/>
              </w:rPr>
            </w:pPr>
            <w:r>
              <w:rPr>
                <w:rFonts w:ascii="Garamond" w:hAnsi="Garamond"/>
                <w:sz w:val="22"/>
                <w:szCs w:val="22"/>
              </w:rPr>
              <w:t>29</w:t>
            </w:r>
          </w:p>
        </w:tc>
        <w:tc>
          <w:tcPr>
            <w:tcW w:w="8364"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5D02D8">
            <w:pPr>
              <w:rPr>
                <w:rFonts w:ascii="Garamond" w:hAnsi="Garamond"/>
                <w:sz w:val="22"/>
                <w:szCs w:val="22"/>
              </w:rPr>
            </w:pPr>
            <w:r w:rsidRPr="00E26E06">
              <w:rPr>
                <w:rFonts w:ascii="Garamond" w:hAnsi="Garamond"/>
                <w:sz w:val="22"/>
                <w:szCs w:val="22"/>
              </w:rPr>
              <w:t>Dwukierunkowa transmisja danych pomiędzy analizatorem i Laboratoryjnym Systemem Informatycznym, z zapewnieniem (jako minimum) zapisu w tym systemie informacji określających</w:t>
            </w:r>
            <w:r w:rsidR="00993175">
              <w:rPr>
                <w:rFonts w:ascii="Garamond" w:hAnsi="Garamond"/>
                <w:sz w:val="22"/>
                <w:szCs w:val="22"/>
              </w:rPr>
              <w:t>: rodzaj monitorowanego podłoża,</w:t>
            </w:r>
            <w:r w:rsidRPr="00E26E06">
              <w:rPr>
                <w:rFonts w:ascii="Garamond" w:hAnsi="Garamond"/>
                <w:sz w:val="22"/>
                <w:szCs w:val="22"/>
              </w:rPr>
              <w:t xml:space="preserve"> datę i godzinę zakończenia monitorowania, a dla butelki sygnalizowanej jako dodatnia dla wzrostu drobnoustrojów datę i godzinę wykrycia</w:t>
            </w:r>
            <w:r w:rsidR="00E73760" w:rsidRPr="00E26E06">
              <w:rPr>
                <w:rFonts w:ascii="Garamond" w:hAnsi="Garamond"/>
                <w:sz w:val="22"/>
                <w:szCs w:val="22"/>
              </w:rPr>
              <w:t xml:space="preserve"> wzrostu drobnoustrojów</w:t>
            </w:r>
            <w:r w:rsidRPr="00E26E06">
              <w:rPr>
                <w:rFonts w:ascii="Garamond" w:hAnsi="Garamond"/>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A127EA" w:rsidRPr="00E26E06" w:rsidRDefault="00A127EA" w:rsidP="00493975">
            <w:pPr>
              <w:suppressAutoHyphens/>
              <w:jc w:val="center"/>
              <w:rPr>
                <w:rFonts w:ascii="Garamond" w:hAnsi="Garamond"/>
                <w:sz w:val="22"/>
                <w:szCs w:val="22"/>
              </w:rPr>
            </w:pPr>
          </w:p>
        </w:tc>
      </w:tr>
    </w:tbl>
    <w:p w:rsidR="004A267E" w:rsidRDefault="004A267E" w:rsidP="00630709">
      <w:pPr>
        <w:rPr>
          <w:rFonts w:ascii="Garamond" w:hAnsi="Garamond"/>
          <w:sz w:val="22"/>
          <w:szCs w:val="22"/>
        </w:rPr>
      </w:pPr>
    </w:p>
    <w:p w:rsidR="00630709" w:rsidRPr="00E26E06" w:rsidRDefault="00630709" w:rsidP="00630709">
      <w:pPr>
        <w:rPr>
          <w:rFonts w:ascii="Garamond" w:hAnsi="Garamond"/>
          <w:sz w:val="22"/>
          <w:szCs w:val="22"/>
        </w:rPr>
      </w:pPr>
      <w:r w:rsidRPr="00E26E06">
        <w:rPr>
          <w:rFonts w:ascii="Garamond" w:hAnsi="Garamond"/>
          <w:sz w:val="22"/>
          <w:szCs w:val="22"/>
        </w:rPr>
        <w:t xml:space="preserve">*Uwaga! Nie spełnienie któregokolwiek z wymagań granicznych przedstawionych w tabeli powyżej spowoduje odrzucenie oferty, z tym zastrzeżeniem, że w odniesieniu do punktów </w:t>
      </w:r>
      <w:r w:rsidR="00E26E06" w:rsidRPr="00E26550">
        <w:rPr>
          <w:rFonts w:ascii="Garamond" w:hAnsi="Garamond"/>
          <w:b/>
          <w:sz w:val="22"/>
          <w:szCs w:val="22"/>
        </w:rPr>
        <w:t>1</w:t>
      </w:r>
      <w:r w:rsidR="00B824FB" w:rsidRPr="00E26550">
        <w:rPr>
          <w:rFonts w:ascii="Garamond" w:hAnsi="Garamond"/>
          <w:b/>
          <w:sz w:val="22"/>
          <w:szCs w:val="22"/>
        </w:rPr>
        <w:t>3</w:t>
      </w:r>
      <w:r w:rsidRPr="00E26550">
        <w:rPr>
          <w:rFonts w:ascii="Garamond" w:hAnsi="Garamond"/>
          <w:b/>
          <w:sz w:val="22"/>
          <w:szCs w:val="22"/>
        </w:rPr>
        <w:t xml:space="preserve">a i </w:t>
      </w:r>
      <w:r w:rsidR="00E26E06" w:rsidRPr="00E26550">
        <w:rPr>
          <w:rFonts w:ascii="Garamond" w:hAnsi="Garamond"/>
          <w:b/>
          <w:sz w:val="22"/>
          <w:szCs w:val="22"/>
        </w:rPr>
        <w:t>1</w:t>
      </w:r>
      <w:r w:rsidR="00B824FB" w:rsidRPr="00E26550">
        <w:rPr>
          <w:rFonts w:ascii="Garamond" w:hAnsi="Garamond"/>
          <w:b/>
          <w:sz w:val="22"/>
          <w:szCs w:val="22"/>
        </w:rPr>
        <w:t>3</w:t>
      </w:r>
      <w:r w:rsidRPr="00E26550">
        <w:rPr>
          <w:rFonts w:ascii="Garamond" w:hAnsi="Garamond"/>
          <w:b/>
          <w:sz w:val="22"/>
          <w:szCs w:val="22"/>
        </w:rPr>
        <w:t>b</w:t>
      </w:r>
      <w:r w:rsidRPr="00E26550">
        <w:rPr>
          <w:rFonts w:ascii="Garamond" w:hAnsi="Garamond"/>
          <w:sz w:val="22"/>
          <w:szCs w:val="22"/>
        </w:rPr>
        <w:t xml:space="preserve"> </w:t>
      </w:r>
      <w:r w:rsidRPr="00E26E06">
        <w:rPr>
          <w:rFonts w:ascii="Garamond" w:hAnsi="Garamond"/>
          <w:sz w:val="22"/>
          <w:szCs w:val="22"/>
        </w:rPr>
        <w:t>or</w:t>
      </w:r>
      <w:bookmarkStart w:id="0" w:name="_GoBack"/>
      <w:bookmarkEnd w:id="0"/>
      <w:r w:rsidRPr="00E26E06">
        <w:rPr>
          <w:rFonts w:ascii="Garamond" w:hAnsi="Garamond"/>
          <w:sz w:val="22"/>
          <w:szCs w:val="22"/>
        </w:rPr>
        <w:t xml:space="preserve">az </w:t>
      </w:r>
      <w:r w:rsidR="00E26E06" w:rsidRPr="00E26550">
        <w:rPr>
          <w:rFonts w:ascii="Garamond" w:hAnsi="Garamond"/>
          <w:b/>
          <w:sz w:val="22"/>
          <w:szCs w:val="22"/>
        </w:rPr>
        <w:t>1</w:t>
      </w:r>
      <w:r w:rsidR="00B824FB" w:rsidRPr="00E26550">
        <w:rPr>
          <w:rFonts w:ascii="Garamond" w:hAnsi="Garamond"/>
          <w:b/>
          <w:sz w:val="22"/>
          <w:szCs w:val="22"/>
        </w:rPr>
        <w:t>5</w:t>
      </w:r>
      <w:r w:rsidRPr="00E26550">
        <w:rPr>
          <w:rFonts w:ascii="Garamond" w:hAnsi="Garamond"/>
          <w:b/>
          <w:sz w:val="22"/>
          <w:szCs w:val="22"/>
        </w:rPr>
        <w:t xml:space="preserve">a i </w:t>
      </w:r>
      <w:r w:rsidR="00E26E06" w:rsidRPr="00E26550">
        <w:rPr>
          <w:rFonts w:ascii="Garamond" w:hAnsi="Garamond"/>
          <w:b/>
          <w:sz w:val="22"/>
          <w:szCs w:val="22"/>
        </w:rPr>
        <w:t>1</w:t>
      </w:r>
      <w:r w:rsidR="00B824FB" w:rsidRPr="00E26550">
        <w:rPr>
          <w:rFonts w:ascii="Garamond" w:hAnsi="Garamond"/>
          <w:b/>
          <w:sz w:val="22"/>
          <w:szCs w:val="22"/>
        </w:rPr>
        <w:t>5</w:t>
      </w:r>
      <w:r w:rsidRPr="00E26550">
        <w:rPr>
          <w:rFonts w:ascii="Garamond" w:hAnsi="Garamond"/>
          <w:b/>
          <w:sz w:val="22"/>
          <w:szCs w:val="22"/>
        </w:rPr>
        <w:t xml:space="preserve">b </w:t>
      </w:r>
      <w:r w:rsidRPr="00E26E06">
        <w:rPr>
          <w:rFonts w:ascii="Garamond" w:hAnsi="Garamond"/>
          <w:sz w:val="22"/>
          <w:szCs w:val="22"/>
        </w:rPr>
        <w:t>konieczne jest spełnienie przynajmniej jednego z tych wymagań.</w:t>
      </w:r>
    </w:p>
    <w:p w:rsidR="00060234" w:rsidRPr="004A267E" w:rsidRDefault="00060234" w:rsidP="004D1D52">
      <w:pPr>
        <w:rPr>
          <w:rFonts w:ascii="Garamond" w:hAnsi="Garamond"/>
          <w:sz w:val="22"/>
          <w:szCs w:val="22"/>
        </w:rPr>
      </w:pPr>
    </w:p>
    <w:sectPr w:rsidR="00060234" w:rsidRPr="004A267E" w:rsidSect="00E14339">
      <w:headerReference w:type="default" r:id="rId8"/>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294" w:rsidRDefault="00CF1294" w:rsidP="00523059">
      <w:r>
        <w:separator/>
      </w:r>
    </w:p>
  </w:endnote>
  <w:endnote w:type="continuationSeparator" w:id="0">
    <w:p w:rsidR="00CF1294" w:rsidRDefault="00CF1294" w:rsidP="0052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294" w:rsidRDefault="00CF1294" w:rsidP="00523059">
      <w:r>
        <w:separator/>
      </w:r>
    </w:p>
  </w:footnote>
  <w:footnote w:type="continuationSeparator" w:id="0">
    <w:p w:rsidR="00CF1294" w:rsidRDefault="00CF1294" w:rsidP="0052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550" w:rsidRDefault="00E26550" w:rsidP="00E26550">
    <w:pPr>
      <w:pStyle w:val="Tekstpodstawowywcity"/>
      <w:jc w:val="right"/>
      <w:rPr>
        <w:rFonts w:ascii="Garamond" w:eastAsia="SimSun" w:hAnsi="Garamond"/>
        <w:b/>
        <w:bCs/>
        <w:sz w:val="22"/>
        <w:szCs w:val="22"/>
      </w:rPr>
    </w:pPr>
    <w:r>
      <w:rPr>
        <w:b/>
        <w:bCs/>
        <w:sz w:val="22"/>
        <w:szCs w:val="22"/>
      </w:rPr>
      <w:t xml:space="preserve">DFP.271.85.2019.AJ                                                             </w:t>
    </w:r>
    <w:r>
      <w:rPr>
        <w:rFonts w:ascii="Garamond" w:hAnsi="Garamond"/>
        <w:b/>
        <w:bCs/>
        <w:sz w:val="22"/>
        <w:szCs w:val="22"/>
      </w:rPr>
      <w:t>Załącznik nr 1b do specyfikacji</w:t>
    </w:r>
  </w:p>
  <w:p w:rsidR="00E26550" w:rsidRDefault="00E26550" w:rsidP="00E26550">
    <w:pPr>
      <w:pStyle w:val="Tekstpodstawowywcity"/>
      <w:jc w:val="right"/>
      <w:rPr>
        <w:rFonts w:ascii="Garamond" w:hAnsi="Garamond"/>
        <w:b/>
        <w:bCs/>
        <w:sz w:val="22"/>
        <w:szCs w:val="22"/>
      </w:rPr>
    </w:pPr>
    <w:r>
      <w:rPr>
        <w:rFonts w:ascii="Garamond" w:hAnsi="Garamond"/>
        <w:b/>
        <w:bCs/>
        <w:sz w:val="22"/>
        <w:szCs w:val="22"/>
      </w:rPr>
      <w:t>Załącznik nr …… do umowy</w:t>
    </w:r>
  </w:p>
  <w:p w:rsidR="00523059" w:rsidRPr="00523059" w:rsidRDefault="00523059" w:rsidP="00424D95">
    <w:pPr>
      <w:jc w:val="right"/>
      <w:rPr>
        <w:rFonts w:ascii="Garamond" w:eastAsia="Calibri" w:hAnsi="Garamond"/>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15FFF"/>
    <w:multiLevelType w:val="hybridMultilevel"/>
    <w:tmpl w:val="FA4E2888"/>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6D9113D7"/>
    <w:multiLevelType w:val="hybridMultilevel"/>
    <w:tmpl w:val="C93A6A80"/>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6F666CB6"/>
    <w:multiLevelType w:val="hybridMultilevel"/>
    <w:tmpl w:val="91387D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1D52"/>
    <w:rsid w:val="00037114"/>
    <w:rsid w:val="00060234"/>
    <w:rsid w:val="000877AC"/>
    <w:rsid w:val="00090F6E"/>
    <w:rsid w:val="000A4E63"/>
    <w:rsid w:val="000A561D"/>
    <w:rsid w:val="000C1FE5"/>
    <w:rsid w:val="000E5D40"/>
    <w:rsid w:val="001055A6"/>
    <w:rsid w:val="00135EA3"/>
    <w:rsid w:val="0014377E"/>
    <w:rsid w:val="001619AC"/>
    <w:rsid w:val="00174358"/>
    <w:rsid w:val="0018338C"/>
    <w:rsid w:val="0022244A"/>
    <w:rsid w:val="00230D07"/>
    <w:rsid w:val="0023613F"/>
    <w:rsid w:val="0025164C"/>
    <w:rsid w:val="00257D83"/>
    <w:rsid w:val="00260BFA"/>
    <w:rsid w:val="00285E47"/>
    <w:rsid w:val="00286A45"/>
    <w:rsid w:val="00294BE0"/>
    <w:rsid w:val="002970EC"/>
    <w:rsid w:val="002B0899"/>
    <w:rsid w:val="00310D08"/>
    <w:rsid w:val="0032093A"/>
    <w:rsid w:val="00367091"/>
    <w:rsid w:val="003814FD"/>
    <w:rsid w:val="00391F6A"/>
    <w:rsid w:val="0039505A"/>
    <w:rsid w:val="003A6A8E"/>
    <w:rsid w:val="00424D95"/>
    <w:rsid w:val="00430FE3"/>
    <w:rsid w:val="00453B7B"/>
    <w:rsid w:val="00461F60"/>
    <w:rsid w:val="00471646"/>
    <w:rsid w:val="00493975"/>
    <w:rsid w:val="004A267E"/>
    <w:rsid w:val="004D1D52"/>
    <w:rsid w:val="004E2E3A"/>
    <w:rsid w:val="004E3532"/>
    <w:rsid w:val="00523059"/>
    <w:rsid w:val="0052339E"/>
    <w:rsid w:val="00541D52"/>
    <w:rsid w:val="00560314"/>
    <w:rsid w:val="00561126"/>
    <w:rsid w:val="005840B4"/>
    <w:rsid w:val="00594A20"/>
    <w:rsid w:val="00597807"/>
    <w:rsid w:val="005A47D8"/>
    <w:rsid w:val="005B2A64"/>
    <w:rsid w:val="005B67AF"/>
    <w:rsid w:val="005D02D8"/>
    <w:rsid w:val="00607BE4"/>
    <w:rsid w:val="00630709"/>
    <w:rsid w:val="006865FD"/>
    <w:rsid w:val="006920FD"/>
    <w:rsid w:val="0069752F"/>
    <w:rsid w:val="006A137A"/>
    <w:rsid w:val="006B4A31"/>
    <w:rsid w:val="00700929"/>
    <w:rsid w:val="007772AE"/>
    <w:rsid w:val="00785EE2"/>
    <w:rsid w:val="007909CE"/>
    <w:rsid w:val="007919AA"/>
    <w:rsid w:val="007A368C"/>
    <w:rsid w:val="007B683C"/>
    <w:rsid w:val="007C68E1"/>
    <w:rsid w:val="007E4879"/>
    <w:rsid w:val="007E77CA"/>
    <w:rsid w:val="007F296C"/>
    <w:rsid w:val="007F5BEE"/>
    <w:rsid w:val="00843C75"/>
    <w:rsid w:val="008707D6"/>
    <w:rsid w:val="00876E7C"/>
    <w:rsid w:val="00887FFE"/>
    <w:rsid w:val="0089469D"/>
    <w:rsid w:val="008C43AC"/>
    <w:rsid w:val="008D0D9D"/>
    <w:rsid w:val="008F3B8A"/>
    <w:rsid w:val="00915D9A"/>
    <w:rsid w:val="0094389F"/>
    <w:rsid w:val="009836EA"/>
    <w:rsid w:val="00993175"/>
    <w:rsid w:val="009C64A1"/>
    <w:rsid w:val="00A07C7E"/>
    <w:rsid w:val="00A127EA"/>
    <w:rsid w:val="00A33399"/>
    <w:rsid w:val="00A378E8"/>
    <w:rsid w:val="00A45DA7"/>
    <w:rsid w:val="00A5461D"/>
    <w:rsid w:val="00A95F09"/>
    <w:rsid w:val="00AA65F4"/>
    <w:rsid w:val="00AB3F03"/>
    <w:rsid w:val="00AC5EBD"/>
    <w:rsid w:val="00AE5FB2"/>
    <w:rsid w:val="00B13EB5"/>
    <w:rsid w:val="00B24CCF"/>
    <w:rsid w:val="00B428AC"/>
    <w:rsid w:val="00B76E4A"/>
    <w:rsid w:val="00B824FB"/>
    <w:rsid w:val="00B870E5"/>
    <w:rsid w:val="00B90642"/>
    <w:rsid w:val="00BA756E"/>
    <w:rsid w:val="00BA76EB"/>
    <w:rsid w:val="00BB05CA"/>
    <w:rsid w:val="00BB590B"/>
    <w:rsid w:val="00C22ED1"/>
    <w:rsid w:val="00C659BE"/>
    <w:rsid w:val="00C82987"/>
    <w:rsid w:val="00CB2532"/>
    <w:rsid w:val="00CB2BA1"/>
    <w:rsid w:val="00CB7329"/>
    <w:rsid w:val="00CB7776"/>
    <w:rsid w:val="00CC3407"/>
    <w:rsid w:val="00CC5E9A"/>
    <w:rsid w:val="00CD3B1B"/>
    <w:rsid w:val="00CF1294"/>
    <w:rsid w:val="00D10FDF"/>
    <w:rsid w:val="00D123B0"/>
    <w:rsid w:val="00D45C22"/>
    <w:rsid w:val="00DA61B5"/>
    <w:rsid w:val="00E0178D"/>
    <w:rsid w:val="00E0408D"/>
    <w:rsid w:val="00E14339"/>
    <w:rsid w:val="00E23CF4"/>
    <w:rsid w:val="00E26550"/>
    <w:rsid w:val="00E26E06"/>
    <w:rsid w:val="00E47764"/>
    <w:rsid w:val="00E57D62"/>
    <w:rsid w:val="00E60986"/>
    <w:rsid w:val="00E655EC"/>
    <w:rsid w:val="00E668E2"/>
    <w:rsid w:val="00E720CF"/>
    <w:rsid w:val="00E73760"/>
    <w:rsid w:val="00EA2A77"/>
    <w:rsid w:val="00EB2813"/>
    <w:rsid w:val="00EC17EA"/>
    <w:rsid w:val="00ED2706"/>
    <w:rsid w:val="00F07C35"/>
    <w:rsid w:val="00F543D0"/>
    <w:rsid w:val="00F645A9"/>
    <w:rsid w:val="00F65EF0"/>
    <w:rsid w:val="00F74FD7"/>
    <w:rsid w:val="00F766A9"/>
    <w:rsid w:val="00FB31D5"/>
    <w:rsid w:val="00FD1147"/>
    <w:rsid w:val="00FF4E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25A69"/>
  <w15:docId w15:val="{3BC3DFD0-8F75-49F3-AA81-C00FD55D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3059"/>
    <w:rPr>
      <w:rFonts w:ascii="Times New Roman" w:eastAsia="Times New Roman" w:hAnsi="Times New Roman"/>
      <w:sz w:val="24"/>
    </w:rPr>
  </w:style>
  <w:style w:type="paragraph" w:styleId="Nagwek3">
    <w:name w:val="heading 3"/>
    <w:basedOn w:val="Normalny"/>
    <w:next w:val="Normalny"/>
    <w:link w:val="Nagwek3Znak"/>
    <w:qFormat/>
    <w:rsid w:val="00523059"/>
    <w:pPr>
      <w:keepNext/>
      <w:outlineLvl w:val="2"/>
    </w:pPr>
    <w:rPr>
      <w:b/>
      <w:bCs/>
      <w:color w:val="FF0000"/>
    </w:rPr>
  </w:style>
  <w:style w:type="paragraph" w:styleId="Nagwek4">
    <w:name w:val="heading 4"/>
    <w:basedOn w:val="Normalny"/>
    <w:next w:val="Normalny"/>
    <w:link w:val="Nagwek4Znak"/>
    <w:qFormat/>
    <w:rsid w:val="00523059"/>
    <w:pPr>
      <w:keepNext/>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3059"/>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523059"/>
  </w:style>
  <w:style w:type="paragraph" w:styleId="Stopka">
    <w:name w:val="footer"/>
    <w:basedOn w:val="Normalny"/>
    <w:link w:val="StopkaZnak"/>
    <w:uiPriority w:val="99"/>
    <w:unhideWhenUsed/>
    <w:rsid w:val="00523059"/>
    <w:pPr>
      <w:tabs>
        <w:tab w:val="center" w:pos="4536"/>
        <w:tab w:val="right" w:pos="9072"/>
      </w:tabs>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523059"/>
  </w:style>
  <w:style w:type="character" w:customStyle="1" w:styleId="Nagwek3Znak">
    <w:name w:val="Nagłówek 3 Znak"/>
    <w:link w:val="Nagwek3"/>
    <w:rsid w:val="00523059"/>
    <w:rPr>
      <w:rFonts w:ascii="Times New Roman" w:eastAsia="Times New Roman" w:hAnsi="Times New Roman" w:cs="Times New Roman"/>
      <w:b/>
      <w:bCs/>
      <w:color w:val="FF0000"/>
      <w:sz w:val="24"/>
      <w:szCs w:val="20"/>
      <w:lang w:eastAsia="pl-PL"/>
    </w:rPr>
  </w:style>
  <w:style w:type="character" w:customStyle="1" w:styleId="Nagwek4Znak">
    <w:name w:val="Nagłówek 4 Znak"/>
    <w:link w:val="Nagwek4"/>
    <w:rsid w:val="00523059"/>
    <w:rPr>
      <w:rFonts w:ascii="Times New Roman" w:eastAsia="Times New Roman" w:hAnsi="Times New Roman" w:cs="Times New Roman"/>
      <w:b/>
      <w:bCs/>
      <w:sz w:val="24"/>
      <w:szCs w:val="20"/>
      <w:lang w:eastAsia="pl-PL"/>
    </w:rPr>
  </w:style>
  <w:style w:type="paragraph" w:customStyle="1" w:styleId="Adresodbiorcywlicie">
    <w:name w:val="Adres odbiorcy w liście"/>
    <w:basedOn w:val="Normalny"/>
    <w:rsid w:val="00523059"/>
  </w:style>
  <w:style w:type="paragraph" w:styleId="Tekstpodstawowywcity">
    <w:name w:val="Body Text Indent"/>
    <w:basedOn w:val="Normalny"/>
    <w:link w:val="TekstpodstawowywcityZnak"/>
    <w:rsid w:val="00E26550"/>
    <w:pPr>
      <w:spacing w:after="120"/>
      <w:ind w:left="283"/>
    </w:pPr>
    <w:rPr>
      <w:rFonts w:eastAsia="Calibri"/>
      <w:szCs w:val="24"/>
    </w:rPr>
  </w:style>
  <w:style w:type="character" w:customStyle="1" w:styleId="TekstpodstawowywcityZnak">
    <w:name w:val="Tekst podstawowy wcięty Znak"/>
    <w:basedOn w:val="Domylnaczcionkaakapitu"/>
    <w:link w:val="Tekstpodstawowywcity"/>
    <w:rsid w:val="00E2655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2381">
      <w:bodyDiv w:val="1"/>
      <w:marLeft w:val="0"/>
      <w:marRight w:val="0"/>
      <w:marTop w:val="0"/>
      <w:marBottom w:val="0"/>
      <w:divBdr>
        <w:top w:val="none" w:sz="0" w:space="0" w:color="auto"/>
        <w:left w:val="none" w:sz="0" w:space="0" w:color="auto"/>
        <w:bottom w:val="none" w:sz="0" w:space="0" w:color="auto"/>
        <w:right w:val="none" w:sz="0" w:space="0" w:color="auto"/>
      </w:divBdr>
    </w:div>
    <w:div w:id="1405568121">
      <w:bodyDiv w:val="1"/>
      <w:marLeft w:val="0"/>
      <w:marRight w:val="0"/>
      <w:marTop w:val="0"/>
      <w:marBottom w:val="0"/>
      <w:divBdr>
        <w:top w:val="none" w:sz="0" w:space="0" w:color="auto"/>
        <w:left w:val="none" w:sz="0" w:space="0" w:color="auto"/>
        <w:bottom w:val="none" w:sz="0" w:space="0" w:color="auto"/>
        <w:right w:val="none" w:sz="0" w:space="0" w:color="auto"/>
      </w:divBdr>
    </w:div>
    <w:div w:id="162438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BFCDA-D6DB-4256-8A47-11536800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950</Words>
  <Characters>5705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cp:lastModifiedBy>Arletta Jędrasiewicz</cp:lastModifiedBy>
  <cp:revision>4</cp:revision>
  <cp:lastPrinted>2019-07-05T13:32:00Z</cp:lastPrinted>
  <dcterms:created xsi:type="dcterms:W3CDTF">2019-07-11T11:53:00Z</dcterms:created>
  <dcterms:modified xsi:type="dcterms:W3CDTF">2019-09-30T10:10:00Z</dcterms:modified>
</cp:coreProperties>
</file>