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B" w:rsidRPr="00E24C67" w:rsidRDefault="00893266" w:rsidP="0087541E">
      <w:pPr>
        <w:spacing w:after="0" w:line="240" w:lineRule="auto"/>
        <w:jc w:val="center"/>
        <w:rPr>
          <w:rFonts w:ascii="Garamond" w:hAnsi="Garamond"/>
          <w:b/>
        </w:rPr>
      </w:pPr>
      <w:r w:rsidRPr="00E24C67">
        <w:rPr>
          <w:rFonts w:ascii="Garamond" w:hAnsi="Garamond"/>
          <w:b/>
        </w:rPr>
        <w:t>Wymagania graniczne –</w:t>
      </w:r>
      <w:r w:rsidR="00F751D6" w:rsidRPr="00E24C67">
        <w:rPr>
          <w:rFonts w:ascii="Garamond" w:hAnsi="Garamond"/>
          <w:b/>
        </w:rPr>
        <w:t xml:space="preserve"> </w:t>
      </w:r>
      <w:r w:rsidRPr="00E24C67">
        <w:rPr>
          <w:rFonts w:ascii="Garamond" w:hAnsi="Garamond"/>
          <w:b/>
        </w:rPr>
        <w:t>część 3</w:t>
      </w:r>
    </w:p>
    <w:p w:rsidR="00DE1A8B" w:rsidRPr="00893266" w:rsidRDefault="00DE1A8B" w:rsidP="0087541E">
      <w:pPr>
        <w:spacing w:after="0" w:line="240" w:lineRule="auto"/>
        <w:rPr>
          <w:rFonts w:ascii="Garamond" w:hAnsi="Garamond"/>
        </w:rPr>
      </w:pPr>
      <w:r w:rsidRPr="00893266">
        <w:rPr>
          <w:rFonts w:ascii="Garamond" w:hAnsi="Garamond"/>
        </w:rPr>
        <w:t>„Dostawa odczynników  i materiałów zużywalnych ( bufor do elektroforezy, bufor do próbek i roztwór barwiący) potrzebnych do oznaczania selektywności i białka monoklonalnego w moczu, przy użyciu techniki elektroforezy na żelu poliakrylamidowym.”</w:t>
      </w:r>
    </w:p>
    <w:p w:rsidR="00DE1A8B" w:rsidRPr="00893266" w:rsidRDefault="00DE1A8B" w:rsidP="0087541E">
      <w:pPr>
        <w:pStyle w:val="Tekstpodstawowywcity"/>
        <w:spacing w:line="240" w:lineRule="auto"/>
        <w:jc w:val="center"/>
        <w:rPr>
          <w:rFonts w:ascii="Garamond" w:hAnsi="Garamond" w:cs="Times New Roman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6660"/>
        <w:gridCol w:w="2160"/>
      </w:tblGrid>
      <w:tr w:rsidR="00DE1A8B" w:rsidRPr="0087541E" w:rsidTr="0087541E">
        <w:trPr>
          <w:trHeight w:val="926"/>
        </w:trPr>
        <w:tc>
          <w:tcPr>
            <w:tcW w:w="390" w:type="dxa"/>
            <w:vAlign w:val="center"/>
          </w:tcPr>
          <w:p w:rsidR="00DE1A8B" w:rsidRPr="0087541E" w:rsidRDefault="00DE1A8B" w:rsidP="0087541E">
            <w:pPr>
              <w:spacing w:after="0" w:line="240" w:lineRule="auto"/>
              <w:jc w:val="center"/>
              <w:rPr>
                <w:rFonts w:ascii="Garamond" w:hAnsi="Garamond"/>
                <w:snapToGrid w:val="0"/>
                <w:color w:val="000000"/>
              </w:rPr>
            </w:pPr>
            <w:r w:rsidRPr="0087541E">
              <w:rPr>
                <w:rFonts w:ascii="Garamond" w:hAnsi="Garamond"/>
                <w:snapToGrid w:val="0"/>
                <w:color w:val="000000"/>
              </w:rPr>
              <w:t>Lp.</w:t>
            </w:r>
          </w:p>
        </w:tc>
        <w:tc>
          <w:tcPr>
            <w:tcW w:w="6660" w:type="dxa"/>
            <w:vAlign w:val="center"/>
          </w:tcPr>
          <w:p w:rsidR="00DE1A8B" w:rsidRPr="0087541E" w:rsidRDefault="00DE1A8B" w:rsidP="0087541E">
            <w:pPr>
              <w:spacing w:after="0" w:line="240" w:lineRule="auto"/>
              <w:jc w:val="center"/>
              <w:rPr>
                <w:rFonts w:ascii="Garamond" w:hAnsi="Garamond"/>
                <w:snapToGrid w:val="0"/>
                <w:color w:val="000000"/>
              </w:rPr>
            </w:pPr>
            <w:r w:rsidRPr="0087541E">
              <w:rPr>
                <w:rFonts w:ascii="Garamond" w:hAnsi="Garamond"/>
                <w:snapToGrid w:val="0"/>
                <w:color w:val="000000"/>
              </w:rPr>
              <w:t>Wymagania graniczne</w:t>
            </w:r>
          </w:p>
        </w:tc>
        <w:tc>
          <w:tcPr>
            <w:tcW w:w="2160" w:type="dxa"/>
            <w:vAlign w:val="center"/>
          </w:tcPr>
          <w:p w:rsidR="00DE1A8B" w:rsidRPr="0087541E" w:rsidRDefault="00DE1A8B" w:rsidP="0087541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541E">
              <w:rPr>
                <w:rFonts w:ascii="Garamond" w:hAnsi="Garamond"/>
              </w:rPr>
              <w:t>Potwierdzenie spełnienia</w:t>
            </w:r>
          </w:p>
          <w:p w:rsidR="00DE1A8B" w:rsidRPr="0087541E" w:rsidRDefault="00DE1A8B" w:rsidP="0087541E">
            <w:pPr>
              <w:spacing w:after="0" w:line="240" w:lineRule="auto"/>
              <w:jc w:val="center"/>
              <w:rPr>
                <w:rFonts w:ascii="Garamond" w:hAnsi="Garamond"/>
                <w:snapToGrid w:val="0"/>
                <w:color w:val="000000"/>
              </w:rPr>
            </w:pPr>
            <w:r w:rsidRPr="0087541E">
              <w:rPr>
                <w:rFonts w:ascii="Garamond" w:hAnsi="Garamond"/>
              </w:rPr>
              <w:t>(należy wpisać Tak lub Nie)*</w:t>
            </w:r>
          </w:p>
        </w:tc>
      </w:tr>
      <w:tr w:rsidR="00DE1A8B" w:rsidRPr="00893266" w:rsidTr="0017694F">
        <w:trPr>
          <w:trHeight w:val="121"/>
        </w:trPr>
        <w:tc>
          <w:tcPr>
            <w:tcW w:w="39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1</w:t>
            </w:r>
          </w:p>
        </w:tc>
        <w:tc>
          <w:tcPr>
            <w:tcW w:w="6660" w:type="dxa"/>
            <w:vAlign w:val="center"/>
          </w:tcPr>
          <w:p w:rsidR="00DE1A8B" w:rsidRPr="00893266" w:rsidRDefault="00DE1A8B" w:rsidP="0087541E">
            <w:pPr>
              <w:pStyle w:val="Akapitzlist"/>
              <w:spacing w:after="0" w:line="240" w:lineRule="auto"/>
              <w:ind w:left="0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 xml:space="preserve">Płytki wykonane z poliakrylamidowego żelu gradientowego </w:t>
            </w:r>
            <w:proofErr w:type="spellStart"/>
            <w:r w:rsidRPr="00893266">
              <w:rPr>
                <w:rFonts w:ascii="Garamond" w:hAnsi="Garamond"/>
              </w:rPr>
              <w:t>Tris-glicynowe</w:t>
            </w:r>
            <w:proofErr w:type="spellEnd"/>
            <w:r w:rsidRPr="00893266">
              <w:rPr>
                <w:rFonts w:ascii="Garamond" w:hAnsi="Garamond"/>
              </w:rPr>
              <w:t xml:space="preserve"> </w:t>
            </w:r>
            <w:r w:rsidRPr="00893266">
              <w:rPr>
                <w:rFonts w:ascii="Garamond" w:hAnsi="Garamond"/>
              </w:rPr>
              <w:br/>
              <w:t xml:space="preserve">o stężeniu: 4-20% kompatybilne z aparatem Mini </w:t>
            </w:r>
            <w:proofErr w:type="spellStart"/>
            <w:r w:rsidRPr="00893266">
              <w:rPr>
                <w:rFonts w:ascii="Garamond" w:hAnsi="Garamond"/>
              </w:rPr>
              <w:t>Protean</w:t>
            </w:r>
            <w:proofErr w:type="spellEnd"/>
            <w:r w:rsidRPr="00893266">
              <w:rPr>
                <w:rFonts w:ascii="Garamond" w:hAnsi="Garamond"/>
              </w:rPr>
              <w:t xml:space="preserve"> 3.</w:t>
            </w:r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- Rozmiar kasety z żelem o wymiarach około 9cm x 7cm.</w:t>
            </w:r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- Żel poliakrylamidowy 12-studzienkowy.</w:t>
            </w:r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- Maksymalna  objętość próbki 30μl.</w:t>
            </w:r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 xml:space="preserve">- Możliwość zakupu z identycznym wzorem rozdziału prążków </w:t>
            </w:r>
            <w:r w:rsidRPr="00893266">
              <w:rPr>
                <w:rFonts w:ascii="Garamond" w:hAnsi="Garamond"/>
              </w:rPr>
              <w:br/>
              <w:t xml:space="preserve">w technologii </w:t>
            </w:r>
            <w:proofErr w:type="spellStart"/>
            <w:r w:rsidRPr="00893266">
              <w:rPr>
                <w:rFonts w:ascii="Garamond" w:hAnsi="Garamond"/>
              </w:rPr>
              <w:t>StainFree</w:t>
            </w:r>
            <w:bookmarkStart w:id="0" w:name="_GoBack"/>
            <w:bookmarkEnd w:id="0"/>
            <w:proofErr w:type="spellEnd"/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- Żele nie zawierające azydku sodu (jeśli istnieje tak wersja).</w:t>
            </w:r>
          </w:p>
          <w:p w:rsidR="00DE1A8B" w:rsidRPr="00893266" w:rsidRDefault="00DE1A8B" w:rsidP="0087541E">
            <w:pPr>
              <w:pStyle w:val="Akapitzlist"/>
              <w:spacing w:after="0" w:line="240" w:lineRule="auto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- Okres trwałości żeli przy przechowywaniu w temp. 2-8</w:t>
            </w:r>
            <w:r w:rsidRPr="00893266">
              <w:rPr>
                <w:rFonts w:ascii="Garamond"/>
              </w:rPr>
              <w:t>⁰</w:t>
            </w:r>
            <w:r w:rsidRPr="00893266">
              <w:rPr>
                <w:rFonts w:ascii="Garamond" w:hAnsi="Garamond"/>
              </w:rPr>
              <w:t xml:space="preserve">C: </w:t>
            </w:r>
            <w:r w:rsidRPr="00893266">
              <w:rPr>
                <w:rFonts w:ascii="Garamond" w:hAnsi="Garamond"/>
              </w:rPr>
              <w:br/>
              <w:t>min. 12 miesięcy od daty produkcji.</w:t>
            </w:r>
          </w:p>
          <w:p w:rsidR="00DE1A8B" w:rsidRPr="00893266" w:rsidRDefault="00DE1A8B" w:rsidP="0087541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:rsidR="00DE1A8B" w:rsidRPr="00893266" w:rsidRDefault="00DE1A8B" w:rsidP="0087541E">
            <w:pPr>
              <w:spacing w:after="0" w:line="240" w:lineRule="auto"/>
              <w:rPr>
                <w:rFonts w:ascii="Garamond" w:hAnsi="Garamond"/>
                <w:b/>
                <w:snapToGrid w:val="0"/>
                <w:color w:val="000000"/>
              </w:rPr>
            </w:pPr>
          </w:p>
        </w:tc>
      </w:tr>
      <w:tr w:rsidR="00DE1A8B" w:rsidRPr="00893266" w:rsidTr="0017694F">
        <w:trPr>
          <w:trHeight w:val="121"/>
        </w:trPr>
        <w:tc>
          <w:tcPr>
            <w:tcW w:w="39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2</w:t>
            </w:r>
          </w:p>
        </w:tc>
        <w:tc>
          <w:tcPr>
            <w:tcW w:w="666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Marker wielkości masy – standard masowy</w:t>
            </w:r>
          </w:p>
          <w:p w:rsidR="00DE1A8B" w:rsidRPr="00893266" w:rsidRDefault="00DE1A8B" w:rsidP="0087541E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 xml:space="preserve">- Marker wielkości masy pozwalający na rozdział białek w zakresie 10-250 </w:t>
            </w:r>
            <w:proofErr w:type="spellStart"/>
            <w:r w:rsidRPr="00893266">
              <w:rPr>
                <w:rFonts w:ascii="Garamond" w:hAnsi="Garamond"/>
              </w:rPr>
              <w:t>kDa</w:t>
            </w:r>
            <w:proofErr w:type="spellEnd"/>
            <w:r w:rsidRPr="00893266">
              <w:rPr>
                <w:rFonts w:ascii="Garamond" w:hAnsi="Garamond"/>
              </w:rPr>
              <w:t xml:space="preserve"> </w:t>
            </w:r>
            <w:r w:rsidRPr="00893266">
              <w:rPr>
                <w:rFonts w:ascii="Garamond" w:hAnsi="Garamond"/>
              </w:rPr>
              <w:br/>
              <w:t xml:space="preserve">z prążkami referencyjnymi o wielkościach: 25, 50, 75 </w:t>
            </w:r>
            <w:proofErr w:type="spellStart"/>
            <w:r w:rsidRPr="00893266">
              <w:rPr>
                <w:rFonts w:ascii="Garamond" w:hAnsi="Garamond"/>
              </w:rPr>
              <w:t>kDa</w:t>
            </w:r>
            <w:proofErr w:type="spellEnd"/>
            <w:r w:rsidRPr="00893266">
              <w:rPr>
                <w:rFonts w:ascii="Garamond" w:hAnsi="Garamond"/>
              </w:rPr>
              <w:t xml:space="preserve">, </w:t>
            </w:r>
            <w:proofErr w:type="spellStart"/>
            <w:r w:rsidRPr="00893266">
              <w:rPr>
                <w:rFonts w:ascii="Garamond" w:hAnsi="Garamond"/>
              </w:rPr>
              <w:t>prebarwiony</w:t>
            </w:r>
            <w:proofErr w:type="spellEnd"/>
          </w:p>
        </w:tc>
        <w:tc>
          <w:tcPr>
            <w:tcW w:w="2160" w:type="dxa"/>
          </w:tcPr>
          <w:p w:rsidR="00DE1A8B" w:rsidRPr="00893266" w:rsidRDefault="00DE1A8B" w:rsidP="0087541E">
            <w:pPr>
              <w:spacing w:after="0" w:line="240" w:lineRule="auto"/>
              <w:rPr>
                <w:rFonts w:ascii="Garamond" w:hAnsi="Garamond"/>
                <w:b/>
                <w:snapToGrid w:val="0"/>
                <w:color w:val="000000"/>
              </w:rPr>
            </w:pPr>
          </w:p>
        </w:tc>
      </w:tr>
      <w:tr w:rsidR="00DE1A8B" w:rsidRPr="00893266" w:rsidTr="0017694F">
        <w:trPr>
          <w:trHeight w:val="121"/>
        </w:trPr>
        <w:tc>
          <w:tcPr>
            <w:tcW w:w="39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3</w:t>
            </w:r>
          </w:p>
        </w:tc>
        <w:tc>
          <w:tcPr>
            <w:tcW w:w="666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 xml:space="preserve">Bufory umożliwiające rozdział elektroforetyczny: </w:t>
            </w:r>
            <w:proofErr w:type="spellStart"/>
            <w:r w:rsidRPr="00893266">
              <w:rPr>
                <w:rFonts w:ascii="Garamond" w:hAnsi="Garamond"/>
              </w:rPr>
              <w:t>próbkowy</w:t>
            </w:r>
            <w:proofErr w:type="spellEnd"/>
            <w:r w:rsidRPr="00893266">
              <w:rPr>
                <w:rFonts w:ascii="Garamond" w:hAnsi="Garamond"/>
              </w:rPr>
              <w:t xml:space="preserve"> i do rozdziału</w:t>
            </w:r>
          </w:p>
        </w:tc>
        <w:tc>
          <w:tcPr>
            <w:tcW w:w="2160" w:type="dxa"/>
          </w:tcPr>
          <w:p w:rsidR="00DE1A8B" w:rsidRPr="00893266" w:rsidRDefault="00DE1A8B" w:rsidP="0087541E">
            <w:pPr>
              <w:spacing w:after="0" w:line="240" w:lineRule="auto"/>
              <w:rPr>
                <w:rFonts w:ascii="Garamond" w:hAnsi="Garamond"/>
                <w:b/>
                <w:snapToGrid w:val="0"/>
                <w:color w:val="000000"/>
              </w:rPr>
            </w:pPr>
          </w:p>
        </w:tc>
      </w:tr>
      <w:tr w:rsidR="00DE1A8B" w:rsidRPr="00893266" w:rsidTr="0017694F">
        <w:trPr>
          <w:trHeight w:val="121"/>
        </w:trPr>
        <w:tc>
          <w:tcPr>
            <w:tcW w:w="39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4</w:t>
            </w:r>
          </w:p>
        </w:tc>
        <w:tc>
          <w:tcPr>
            <w:tcW w:w="6660" w:type="dxa"/>
            <w:vAlign w:val="center"/>
          </w:tcPr>
          <w:p w:rsidR="00DE1A8B" w:rsidRPr="00893266" w:rsidRDefault="00DE1A8B" w:rsidP="0087541E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93266">
              <w:rPr>
                <w:rFonts w:ascii="Garamond" w:hAnsi="Garamond"/>
              </w:rPr>
              <w:t>Kompletny zestaw barwiący.</w:t>
            </w:r>
          </w:p>
        </w:tc>
        <w:tc>
          <w:tcPr>
            <w:tcW w:w="2160" w:type="dxa"/>
          </w:tcPr>
          <w:p w:rsidR="00DE1A8B" w:rsidRPr="00893266" w:rsidRDefault="00DE1A8B" w:rsidP="0087541E">
            <w:pPr>
              <w:spacing w:after="0" w:line="240" w:lineRule="auto"/>
              <w:rPr>
                <w:rFonts w:ascii="Garamond" w:hAnsi="Garamond"/>
                <w:b/>
                <w:snapToGrid w:val="0"/>
                <w:color w:val="000000"/>
              </w:rPr>
            </w:pPr>
          </w:p>
        </w:tc>
      </w:tr>
    </w:tbl>
    <w:p w:rsidR="00DE1A8B" w:rsidRPr="00893266" w:rsidRDefault="00DE1A8B" w:rsidP="0087541E">
      <w:pPr>
        <w:pStyle w:val="Nagwek4"/>
        <w:rPr>
          <w:rFonts w:ascii="Garamond" w:hAnsi="Garamond"/>
          <w:b w:val="0"/>
          <w:sz w:val="18"/>
          <w:szCs w:val="18"/>
        </w:rPr>
      </w:pPr>
      <w:r w:rsidRPr="00893266">
        <w:rPr>
          <w:rFonts w:ascii="Garamond" w:hAnsi="Garamond"/>
          <w:b w:val="0"/>
          <w:sz w:val="18"/>
          <w:szCs w:val="18"/>
        </w:rPr>
        <w:t>*Nie spełnienie któregokolwiek z wymagań granicznych przedstawionych w tabeli powyżej spowoduje odrzucenie oferty.</w:t>
      </w:r>
    </w:p>
    <w:p w:rsidR="00DE1A8B" w:rsidRPr="00893266" w:rsidRDefault="00DE1A8B" w:rsidP="0087541E">
      <w:pPr>
        <w:spacing w:after="0" w:line="240" w:lineRule="auto"/>
        <w:rPr>
          <w:rFonts w:ascii="Garamond" w:hAnsi="Garamond"/>
          <w:b/>
          <w:bCs/>
          <w:lang w:eastAsia="pl-PL"/>
        </w:rPr>
      </w:pPr>
    </w:p>
    <w:p w:rsidR="00DE1A8B" w:rsidRPr="00893266" w:rsidRDefault="00DE1A8B" w:rsidP="0087541E">
      <w:pPr>
        <w:spacing w:after="0" w:line="240" w:lineRule="auto"/>
        <w:rPr>
          <w:rFonts w:ascii="Garamond" w:hAnsi="Garamond"/>
          <w:b/>
          <w:bCs/>
          <w:lang w:eastAsia="pl-PL"/>
        </w:rPr>
      </w:pPr>
    </w:p>
    <w:p w:rsidR="00DE1A8B" w:rsidRPr="00893266" w:rsidRDefault="00DE1A8B" w:rsidP="0087541E">
      <w:pPr>
        <w:spacing w:after="0" w:line="240" w:lineRule="auto"/>
        <w:rPr>
          <w:rFonts w:ascii="Garamond" w:hAnsi="Garamond"/>
          <w:b/>
          <w:bCs/>
          <w:lang w:eastAsia="pl-PL"/>
        </w:rPr>
      </w:pPr>
    </w:p>
    <w:p w:rsidR="00DE1A8B" w:rsidRPr="00893266" w:rsidRDefault="00DE1A8B" w:rsidP="0087541E">
      <w:pPr>
        <w:pStyle w:val="Akapitzlist1"/>
        <w:spacing w:after="0" w:line="240" w:lineRule="auto"/>
        <w:jc w:val="both"/>
        <w:rPr>
          <w:rFonts w:ascii="Garamond" w:hAnsi="Garamond"/>
          <w:lang w:eastAsia="pl-PL"/>
        </w:rPr>
      </w:pP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  <w:r w:rsidRPr="00893266">
        <w:rPr>
          <w:rFonts w:ascii="Garamond" w:hAnsi="Garamond"/>
        </w:rPr>
        <w:tab/>
      </w:r>
    </w:p>
    <w:p w:rsidR="00DE1A8B" w:rsidRPr="00893266" w:rsidRDefault="00DE1A8B" w:rsidP="0087541E">
      <w:pPr>
        <w:spacing w:after="0" w:line="240" w:lineRule="auto"/>
        <w:rPr>
          <w:rFonts w:ascii="Garamond" w:hAnsi="Garamond"/>
        </w:rPr>
      </w:pPr>
    </w:p>
    <w:p w:rsidR="00DE1A8B" w:rsidRPr="00893266" w:rsidRDefault="00DE1A8B" w:rsidP="0087541E">
      <w:pPr>
        <w:spacing w:after="0" w:line="240" w:lineRule="auto"/>
        <w:rPr>
          <w:rFonts w:ascii="Garamond" w:hAnsi="Garamond"/>
        </w:rPr>
      </w:pPr>
    </w:p>
    <w:sectPr w:rsidR="00DE1A8B" w:rsidRPr="00893266" w:rsidSect="00893266">
      <w:headerReference w:type="default" r:id="rId7"/>
      <w:pgSz w:w="11906" w:h="16838"/>
      <w:pgMar w:top="4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8C" w:rsidRDefault="00DE7F8C" w:rsidP="002E7D0A">
      <w:pPr>
        <w:spacing w:after="0" w:line="240" w:lineRule="auto"/>
      </w:pPr>
      <w:r>
        <w:separator/>
      </w:r>
    </w:p>
  </w:endnote>
  <w:endnote w:type="continuationSeparator" w:id="0">
    <w:p w:rsidR="00DE7F8C" w:rsidRDefault="00DE7F8C" w:rsidP="002E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8C" w:rsidRDefault="00DE7F8C" w:rsidP="002E7D0A">
      <w:pPr>
        <w:spacing w:after="0" w:line="240" w:lineRule="auto"/>
      </w:pPr>
      <w:r>
        <w:separator/>
      </w:r>
    </w:p>
  </w:footnote>
  <w:footnote w:type="continuationSeparator" w:id="0">
    <w:p w:rsidR="00DE7F8C" w:rsidRDefault="00DE7F8C" w:rsidP="002E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0A" w:rsidRPr="00893266" w:rsidRDefault="002E7D0A" w:rsidP="00893266">
    <w:pPr>
      <w:pStyle w:val="Nagwek"/>
      <w:spacing w:after="0"/>
      <w:rPr>
        <w:rFonts w:ascii="Garamond" w:hAnsi="Garamond"/>
      </w:rPr>
    </w:pPr>
    <w:r w:rsidRPr="00893266">
      <w:rPr>
        <w:rFonts w:ascii="Garamond" w:hAnsi="Garamond"/>
      </w:rPr>
      <w:t xml:space="preserve">DFZP-AJ-271-198/2017                                                        </w:t>
    </w:r>
    <w:r w:rsidRPr="00893266">
      <w:rPr>
        <w:rFonts w:ascii="Garamond" w:hAnsi="Garamond"/>
      </w:rPr>
      <w:tab/>
      <w:t xml:space="preserve">                     </w:t>
    </w:r>
    <w:r w:rsidR="00893266">
      <w:rPr>
        <w:rFonts w:ascii="Garamond" w:hAnsi="Garamond"/>
      </w:rPr>
      <w:t xml:space="preserve">   </w:t>
    </w:r>
    <w:r w:rsidRPr="00893266">
      <w:rPr>
        <w:rFonts w:ascii="Garamond" w:hAnsi="Garamond"/>
      </w:rPr>
      <w:t>Załącznik nr 1b do specyfikacji</w:t>
    </w:r>
  </w:p>
  <w:p w:rsidR="002E7D0A" w:rsidRPr="00893266" w:rsidRDefault="002E7D0A" w:rsidP="00893266">
    <w:pPr>
      <w:pStyle w:val="Nagwek"/>
      <w:spacing w:after="0"/>
      <w:rPr>
        <w:rFonts w:ascii="Garamond" w:hAnsi="Garamond"/>
      </w:rPr>
    </w:pPr>
    <w:r w:rsidRPr="00893266">
      <w:rPr>
        <w:rFonts w:ascii="Garamond" w:hAnsi="Garamond"/>
      </w:rPr>
      <w:tab/>
      <w:t xml:space="preserve">                                  </w:t>
    </w:r>
    <w:r w:rsidR="00893266">
      <w:rPr>
        <w:rFonts w:ascii="Garamond" w:hAnsi="Garamond"/>
      </w:rPr>
      <w:t xml:space="preserve">                                                                                 </w:t>
    </w:r>
    <w:r w:rsidRPr="00893266">
      <w:rPr>
        <w:rFonts w:ascii="Garamond" w:hAnsi="Garamond"/>
      </w:rPr>
      <w:t>Załącznik nr …..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5E5"/>
    <w:multiLevelType w:val="hybridMultilevel"/>
    <w:tmpl w:val="7F6A68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47"/>
    <w:rsid w:val="000A7B89"/>
    <w:rsid w:val="000F68FA"/>
    <w:rsid w:val="000F7A38"/>
    <w:rsid w:val="00112648"/>
    <w:rsid w:val="00114679"/>
    <w:rsid w:val="00123389"/>
    <w:rsid w:val="0017694F"/>
    <w:rsid w:val="002A3C63"/>
    <w:rsid w:val="002C1E62"/>
    <w:rsid w:val="002E7D0A"/>
    <w:rsid w:val="0039502D"/>
    <w:rsid w:val="003C3B81"/>
    <w:rsid w:val="003C7E4F"/>
    <w:rsid w:val="005208FE"/>
    <w:rsid w:val="0056570C"/>
    <w:rsid w:val="00641147"/>
    <w:rsid w:val="0068323C"/>
    <w:rsid w:val="006845CE"/>
    <w:rsid w:val="006C5967"/>
    <w:rsid w:val="00706260"/>
    <w:rsid w:val="00781083"/>
    <w:rsid w:val="0087541E"/>
    <w:rsid w:val="00893266"/>
    <w:rsid w:val="008B559A"/>
    <w:rsid w:val="008E5621"/>
    <w:rsid w:val="009F5972"/>
    <w:rsid w:val="00A909C6"/>
    <w:rsid w:val="00AD36BF"/>
    <w:rsid w:val="00B569E8"/>
    <w:rsid w:val="00C34F75"/>
    <w:rsid w:val="00C47278"/>
    <w:rsid w:val="00C561C5"/>
    <w:rsid w:val="00C56FCC"/>
    <w:rsid w:val="00D31160"/>
    <w:rsid w:val="00DE1A8B"/>
    <w:rsid w:val="00DE7F8C"/>
    <w:rsid w:val="00E24C67"/>
    <w:rsid w:val="00E56F94"/>
    <w:rsid w:val="00F751D6"/>
    <w:rsid w:val="00F9076A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7FA446-F2C3-4434-A9C7-0B3CCBE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83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34F75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D36BF"/>
    <w:rPr>
      <w:rFonts w:ascii="Calibri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99"/>
    <w:qFormat/>
    <w:rsid w:val="00B569E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C34F75"/>
    <w:pPr>
      <w:ind w:left="720"/>
      <w:contextualSpacing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34F75"/>
    <w:pPr>
      <w:suppressAutoHyphens/>
      <w:spacing w:after="0" w:line="360" w:lineRule="auto"/>
      <w:ind w:left="360" w:hanging="360"/>
      <w:jc w:val="both"/>
    </w:pPr>
    <w:rPr>
      <w:rFonts w:ascii="Arial" w:hAnsi="Arial" w:cs="Arial Narrow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D36BF"/>
    <w:rPr>
      <w:rFonts w:cs="Times New Roman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C3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D36BF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semiHidden/>
    <w:unhideWhenUsed/>
    <w:rsid w:val="002E7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7D0A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E7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graniczne zał</dc:title>
  <dc:subject/>
  <dc:creator>user</dc:creator>
  <cp:keywords/>
  <dc:description/>
  <cp:lastModifiedBy>Magdalena Leśniak</cp:lastModifiedBy>
  <cp:revision>2</cp:revision>
  <dcterms:created xsi:type="dcterms:W3CDTF">2017-11-15T15:26:00Z</dcterms:created>
  <dcterms:modified xsi:type="dcterms:W3CDTF">2017-11-15T15:26:00Z</dcterms:modified>
</cp:coreProperties>
</file>