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01" w:rsidRPr="00CB2E97" w:rsidRDefault="00CB2E97" w:rsidP="001F5001">
      <w:pPr>
        <w:suppressAutoHyphens/>
        <w:spacing w:after="0" w:line="240" w:lineRule="auto"/>
        <w:jc w:val="center"/>
        <w:rPr>
          <w:rFonts w:ascii="Garamond" w:hAnsi="Garamond"/>
          <w:b/>
          <w:color w:val="002060"/>
        </w:rPr>
      </w:pPr>
      <w:r>
        <w:rPr>
          <w:rFonts w:ascii="Garamond" w:hAnsi="Garamond"/>
          <w:b/>
          <w:color w:val="002060"/>
        </w:rPr>
        <w:t>Wymagania graniczne dla</w:t>
      </w:r>
      <w:r w:rsidRPr="001F5001">
        <w:rPr>
          <w:rFonts w:ascii="Garamond" w:eastAsia="Times New Roman" w:hAnsi="Garamond" w:cs="Arial Narrow"/>
        </w:rPr>
        <w:t xml:space="preserve"> </w:t>
      </w:r>
      <w:r w:rsidR="001F5001" w:rsidRPr="00CB2E97">
        <w:rPr>
          <w:rFonts w:ascii="Garamond" w:hAnsi="Garamond"/>
          <w:b/>
          <w:color w:val="002060"/>
        </w:rPr>
        <w:t>gotowych podłoży różnicujących na płytkach</w:t>
      </w:r>
    </w:p>
    <w:p w:rsidR="00CB2E97" w:rsidRDefault="001F5001" w:rsidP="00CB2E97">
      <w:pPr>
        <w:suppressAutoHyphens/>
        <w:spacing w:after="0" w:line="240" w:lineRule="auto"/>
        <w:jc w:val="center"/>
        <w:rPr>
          <w:rFonts w:ascii="Garamond" w:hAnsi="Garamond"/>
          <w:b/>
          <w:color w:val="002060"/>
        </w:rPr>
      </w:pPr>
      <w:r w:rsidRPr="00CB2E97">
        <w:rPr>
          <w:rFonts w:ascii="Garamond" w:hAnsi="Garamond"/>
          <w:b/>
          <w:color w:val="002060"/>
        </w:rPr>
        <w:t xml:space="preserve">Dotyczy: część </w:t>
      </w:r>
      <w:r w:rsidR="00FD29E4" w:rsidRPr="00CB2E97">
        <w:rPr>
          <w:rFonts w:ascii="Garamond" w:hAnsi="Garamond"/>
          <w:b/>
          <w:color w:val="002060"/>
        </w:rPr>
        <w:t>4</w:t>
      </w:r>
      <w:r w:rsidRPr="00CB2E97">
        <w:rPr>
          <w:rFonts w:ascii="Garamond" w:hAnsi="Garamond"/>
          <w:b/>
          <w:color w:val="002060"/>
        </w:rPr>
        <w:t xml:space="preserve"> poz</w:t>
      </w:r>
      <w:r w:rsidR="00CB2E97">
        <w:rPr>
          <w:rFonts w:ascii="Garamond" w:hAnsi="Garamond"/>
          <w:b/>
          <w:color w:val="002060"/>
        </w:rPr>
        <w:t>.</w:t>
      </w:r>
      <w:r w:rsidRPr="00CB2E97">
        <w:rPr>
          <w:rFonts w:ascii="Garamond" w:hAnsi="Garamond"/>
          <w:b/>
          <w:color w:val="002060"/>
        </w:rPr>
        <w:t xml:space="preserve"> 1-4</w:t>
      </w:r>
    </w:p>
    <w:p w:rsidR="00CB2E97" w:rsidRDefault="00CB2E97" w:rsidP="00CB2E97">
      <w:pPr>
        <w:suppressAutoHyphens/>
        <w:spacing w:after="0" w:line="240" w:lineRule="auto"/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866"/>
        <w:gridCol w:w="2313"/>
      </w:tblGrid>
      <w:tr w:rsidR="00CB2E97" w:rsidRPr="00C50CE9" w:rsidTr="00CB2E97">
        <w:trPr>
          <w:trHeight w:val="1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97" w:rsidRPr="00CB2E97" w:rsidRDefault="00CB2E97" w:rsidP="00CB2E9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  <w:b/>
              </w:rPr>
            </w:pPr>
            <w:r w:rsidRPr="00CB2E97">
              <w:rPr>
                <w:rFonts w:ascii="Garamond" w:eastAsia="Times New Roman" w:hAnsi="Garamond" w:cs="Arial Narrow"/>
                <w:b/>
              </w:rPr>
              <w:t>Lp.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97" w:rsidRPr="00CB2E97" w:rsidRDefault="00CB2E97" w:rsidP="00CB2E97">
            <w:pPr>
              <w:suppressAutoHyphens/>
              <w:spacing w:after="0"/>
              <w:jc w:val="center"/>
              <w:rPr>
                <w:rFonts w:ascii="Garamond" w:eastAsia="Times New Roman" w:hAnsi="Garamond" w:cs="Arial Narrow"/>
                <w:b/>
              </w:rPr>
            </w:pPr>
            <w:r w:rsidRPr="00CB2E97">
              <w:rPr>
                <w:rFonts w:ascii="Garamond" w:eastAsia="Times New Roman" w:hAnsi="Garamond" w:cs="Arial Narrow"/>
                <w:b/>
              </w:rPr>
              <w:t>Nazwa parametru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97" w:rsidRPr="00CB2E97" w:rsidRDefault="00CB2E97" w:rsidP="00CB2E9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  <w:b/>
              </w:rPr>
            </w:pPr>
            <w:r w:rsidRPr="00CB2E97">
              <w:rPr>
                <w:rFonts w:ascii="Garamond" w:eastAsia="Times New Roman" w:hAnsi="Garamond" w:cs="Arial Narrow"/>
                <w:b/>
              </w:rPr>
              <w:t>Potwierdzenie spełnienia</w:t>
            </w:r>
          </w:p>
          <w:p w:rsidR="00CB2E97" w:rsidRPr="00CB2E97" w:rsidRDefault="00CB2E97" w:rsidP="00CB2E9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  <w:b/>
              </w:rPr>
            </w:pPr>
            <w:r w:rsidRPr="00CB2E97">
              <w:rPr>
                <w:rFonts w:ascii="Garamond" w:eastAsia="Times New Roman" w:hAnsi="Garamond" w:cs="Arial Narrow"/>
                <w:b/>
              </w:rPr>
              <w:t>(należy wpisać Tak lub Nie)*</w:t>
            </w:r>
          </w:p>
        </w:tc>
      </w:tr>
      <w:tr w:rsidR="001F5001" w:rsidRPr="001F5001" w:rsidTr="00CB2E97">
        <w:trPr>
          <w:trHeight w:val="121"/>
        </w:trPr>
        <w:tc>
          <w:tcPr>
            <w:tcW w:w="597" w:type="dxa"/>
            <w:vAlign w:val="center"/>
          </w:tcPr>
          <w:p w:rsidR="001F5001" w:rsidRPr="001F5001" w:rsidRDefault="001F5001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</w:rPr>
            </w:pPr>
            <w:r w:rsidRPr="001F5001">
              <w:rPr>
                <w:rFonts w:ascii="Garamond" w:eastAsia="Times New Roman" w:hAnsi="Garamond" w:cs="Arial Narrow"/>
              </w:rPr>
              <w:t>1</w:t>
            </w:r>
          </w:p>
        </w:tc>
        <w:tc>
          <w:tcPr>
            <w:tcW w:w="6866" w:type="dxa"/>
            <w:vAlign w:val="center"/>
          </w:tcPr>
          <w:p w:rsidR="001F5001" w:rsidRPr="001F5001" w:rsidRDefault="001F5001" w:rsidP="00A7011B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 w:rsidRPr="001F5001">
              <w:rPr>
                <w:rFonts w:ascii="Garamond" w:eastAsia="Times New Roman" w:hAnsi="Garamond" w:cs="Arial Narrow"/>
              </w:rPr>
              <w:t xml:space="preserve">Certyfikat Kontroli Jakości dołączony do każdej partii dostarczonych produktów lub udostępniony na stronie internetowej producenta zawierający nie mniej danych niż:  </w:t>
            </w:r>
          </w:p>
          <w:p w:rsidR="001F5001" w:rsidRPr="001F5001" w:rsidRDefault="001F5001" w:rsidP="00A7011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 w:rsidRPr="001F5001">
              <w:rPr>
                <w:rFonts w:ascii="Garamond" w:eastAsia="Times New Roman" w:hAnsi="Garamond" w:cs="Arial Narrow"/>
              </w:rPr>
              <w:t>Nazwa i numer katalogowy produktu</w:t>
            </w:r>
          </w:p>
          <w:p w:rsidR="001F5001" w:rsidRPr="001F5001" w:rsidRDefault="001F5001" w:rsidP="00A7011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 w:rsidRPr="001F5001">
              <w:rPr>
                <w:rFonts w:ascii="Garamond" w:eastAsia="Times New Roman" w:hAnsi="Garamond" w:cs="Arial Narrow"/>
              </w:rPr>
              <w:t>Nr serii (Nr Lot) podłoża</w:t>
            </w:r>
          </w:p>
          <w:p w:rsidR="001F5001" w:rsidRPr="001F5001" w:rsidRDefault="001F5001" w:rsidP="00A7011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 w:rsidRPr="001F5001">
              <w:rPr>
                <w:rFonts w:ascii="Garamond" w:eastAsia="Times New Roman" w:hAnsi="Garamond" w:cs="Arial Narrow"/>
              </w:rPr>
              <w:t>Data ważności podłoża</w:t>
            </w:r>
          </w:p>
          <w:p w:rsidR="001F5001" w:rsidRPr="001F5001" w:rsidRDefault="001F5001" w:rsidP="00A7011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 w:rsidRPr="001F5001">
              <w:rPr>
                <w:rFonts w:ascii="Garamond" w:eastAsia="Times New Roman" w:hAnsi="Garamond" w:cs="Arial Narrow"/>
              </w:rPr>
              <w:t xml:space="preserve">Ogólna charakterystyka pożywki: </w:t>
            </w:r>
          </w:p>
          <w:p w:rsidR="001F5001" w:rsidRPr="001F5001" w:rsidRDefault="001F5001" w:rsidP="00A7011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 w:rsidRPr="001F5001">
              <w:rPr>
                <w:rFonts w:ascii="Garamond" w:eastAsia="Times New Roman" w:hAnsi="Garamond" w:cs="Arial Narrow"/>
              </w:rPr>
              <w:t>wygląd;</w:t>
            </w:r>
          </w:p>
          <w:p w:rsidR="001F5001" w:rsidRPr="001F5001" w:rsidRDefault="001F5001" w:rsidP="00A7011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 w:rsidRPr="001F5001">
              <w:rPr>
                <w:rFonts w:ascii="Garamond" w:eastAsia="Times New Roman" w:hAnsi="Garamond" w:cs="Arial Narrow"/>
              </w:rPr>
              <w:t xml:space="preserve">wartość pH; </w:t>
            </w:r>
          </w:p>
          <w:p w:rsidR="001F5001" w:rsidRDefault="001F5001" w:rsidP="00A7011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 w:rsidRPr="001F5001">
              <w:rPr>
                <w:rFonts w:ascii="Garamond" w:eastAsia="Times New Roman" w:hAnsi="Garamond" w:cs="Arial Narrow"/>
              </w:rPr>
              <w:t xml:space="preserve">barwa; </w:t>
            </w:r>
          </w:p>
          <w:p w:rsidR="001F5001" w:rsidRPr="001F5001" w:rsidRDefault="001F5001" w:rsidP="00A7011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>
              <w:rPr>
                <w:rFonts w:ascii="Garamond" w:eastAsia="Times New Roman" w:hAnsi="Garamond" w:cs="Arial Narrow"/>
              </w:rPr>
              <w:t>objętość (ml) dla podłoży płynnych</w:t>
            </w:r>
          </w:p>
          <w:p w:rsidR="001F5001" w:rsidRDefault="001F5001" w:rsidP="00A7011B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 w:rsidRPr="001F5001">
              <w:rPr>
                <w:rFonts w:ascii="Garamond" w:eastAsia="Times New Roman" w:hAnsi="Garamond" w:cs="Arial Narrow"/>
              </w:rPr>
              <w:t>ocena jałowo</w:t>
            </w:r>
            <w:r w:rsidR="004E2550">
              <w:rPr>
                <w:rFonts w:ascii="Garamond" w:eastAsia="Times New Roman" w:hAnsi="Garamond" w:cs="Arial Narrow"/>
              </w:rPr>
              <w:t xml:space="preserve">ści </w:t>
            </w:r>
            <w:r>
              <w:rPr>
                <w:rFonts w:ascii="Garamond" w:eastAsia="Times New Roman" w:hAnsi="Garamond" w:cs="Arial Narrow"/>
              </w:rPr>
              <w:t>podłoża</w:t>
            </w:r>
          </w:p>
          <w:p w:rsidR="001F5001" w:rsidRPr="001F5001" w:rsidRDefault="001F5001" w:rsidP="00A7011B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>
              <w:rPr>
                <w:rFonts w:ascii="Garamond" w:eastAsia="Times New Roman" w:hAnsi="Garamond" w:cs="Arial Narrow"/>
              </w:rPr>
              <w:t>ocena żyzności oraz selektywności pożywki z uwzględnieniem :</w:t>
            </w:r>
          </w:p>
          <w:p w:rsidR="001F5001" w:rsidRPr="001F5001" w:rsidRDefault="001F5001" w:rsidP="00A7011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>
              <w:rPr>
                <w:rFonts w:ascii="Garamond" w:eastAsia="Times New Roman" w:hAnsi="Garamond" w:cs="Arial Narrow"/>
              </w:rPr>
              <w:t>wykazu szczepów wzorcowych z kolekcji ATCC użytych do oceny właściwości odżywczych i wybiórczych podłoża</w:t>
            </w:r>
          </w:p>
          <w:p w:rsidR="001F5001" w:rsidRPr="00CB2E97" w:rsidRDefault="001F5001" w:rsidP="00A7011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>
              <w:rPr>
                <w:rFonts w:ascii="Garamond" w:eastAsia="Times New Roman" w:hAnsi="Garamond" w:cs="Arial Narrow"/>
              </w:rPr>
              <w:t>opisu uzyskanych wyników np. ocena wzrostu, zmiana zabarwienia podłoża, czas wystąpienia reakcji itd.</w:t>
            </w:r>
          </w:p>
        </w:tc>
        <w:tc>
          <w:tcPr>
            <w:tcW w:w="2313" w:type="dxa"/>
            <w:vAlign w:val="center"/>
          </w:tcPr>
          <w:p w:rsidR="001F5001" w:rsidRPr="001F5001" w:rsidRDefault="001F5001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</w:rPr>
            </w:pPr>
          </w:p>
        </w:tc>
      </w:tr>
      <w:tr w:rsidR="001F5001" w:rsidRPr="001F5001" w:rsidTr="00CB2E97">
        <w:trPr>
          <w:trHeight w:val="121"/>
        </w:trPr>
        <w:tc>
          <w:tcPr>
            <w:tcW w:w="597" w:type="dxa"/>
            <w:vAlign w:val="center"/>
          </w:tcPr>
          <w:p w:rsidR="001F5001" w:rsidRPr="001F5001" w:rsidRDefault="001F5001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</w:rPr>
            </w:pPr>
            <w:r w:rsidRPr="001F5001">
              <w:rPr>
                <w:rFonts w:ascii="Garamond" w:eastAsia="Times New Roman" w:hAnsi="Garamond" w:cs="Arial Narrow"/>
              </w:rPr>
              <w:t>2</w:t>
            </w:r>
          </w:p>
        </w:tc>
        <w:tc>
          <w:tcPr>
            <w:tcW w:w="6866" w:type="dxa"/>
            <w:vAlign w:val="center"/>
          </w:tcPr>
          <w:p w:rsidR="001F5001" w:rsidRPr="001F5001" w:rsidRDefault="001F5001" w:rsidP="00A7011B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  <w:bCs/>
              </w:rPr>
            </w:pPr>
            <w:r w:rsidRPr="001F5001">
              <w:rPr>
                <w:rFonts w:ascii="Garamond" w:eastAsia="Times New Roman" w:hAnsi="Garamond" w:cs="Arial Narrow"/>
                <w:bCs/>
              </w:rPr>
              <w:t>Instrukcja techniczna podłoża zawierająca nie mniej informacji niż:</w:t>
            </w:r>
          </w:p>
          <w:p w:rsidR="001F5001" w:rsidRPr="001F5001" w:rsidRDefault="001F5001" w:rsidP="00A7011B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  <w:bCs/>
              </w:rPr>
            </w:pPr>
            <w:r>
              <w:rPr>
                <w:rFonts w:ascii="Garamond" w:eastAsia="Times New Roman" w:hAnsi="Garamond" w:cs="Arial Narrow"/>
                <w:bCs/>
                <w:sz w:val="20"/>
                <w:szCs w:val="20"/>
              </w:rPr>
              <w:t>Opis</w:t>
            </w:r>
            <w:r w:rsidRPr="001F5001">
              <w:rPr>
                <w:rFonts w:ascii="Garamond" w:eastAsia="Times New Roman" w:hAnsi="Garamond" w:cs="Arial Narrow"/>
                <w:bCs/>
                <w:sz w:val="20"/>
                <w:szCs w:val="20"/>
              </w:rPr>
              <w:t xml:space="preserve"> podłoża</w:t>
            </w:r>
          </w:p>
          <w:p w:rsidR="001F5001" w:rsidRPr="001F5001" w:rsidRDefault="001F5001" w:rsidP="00A7011B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 w:rsidRPr="001F5001">
              <w:rPr>
                <w:rFonts w:ascii="Garamond" w:eastAsia="Times New Roman" w:hAnsi="Garamond" w:cs="Arial Narrow"/>
                <w:bCs/>
              </w:rPr>
              <w:t xml:space="preserve">Skład </w:t>
            </w:r>
            <w:r w:rsidRPr="001F5001">
              <w:rPr>
                <w:rFonts w:ascii="Garamond" w:eastAsia="Times New Roman" w:hAnsi="Garamond" w:cs="Arial Narrow"/>
              </w:rPr>
              <w:t>chemiczny podłoża z uwzględnieniem ewentualnych suplementów tj. substancji wzbogacających lub hamujących oraz podaniem ilości poszczególnych składników (g/l i ml/l)</w:t>
            </w:r>
          </w:p>
          <w:p w:rsidR="001F5001" w:rsidRPr="001F5001" w:rsidRDefault="001F5001" w:rsidP="00A7011B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  <w:bCs/>
              </w:rPr>
            </w:pPr>
            <w:r w:rsidRPr="001F5001">
              <w:rPr>
                <w:rFonts w:ascii="Garamond" w:eastAsia="Times New Roman" w:hAnsi="Garamond" w:cs="Arial Narrow"/>
                <w:bCs/>
              </w:rPr>
              <w:t>Przechowywanie</w:t>
            </w:r>
          </w:p>
          <w:p w:rsidR="001F5001" w:rsidRPr="001F5001" w:rsidRDefault="001F5001" w:rsidP="00A7011B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  <w:bCs/>
                <w:szCs w:val="20"/>
              </w:rPr>
            </w:pPr>
            <w:r w:rsidRPr="001F5001">
              <w:rPr>
                <w:rFonts w:ascii="Garamond" w:eastAsia="Times New Roman" w:hAnsi="Garamond" w:cs="Arial Narrow"/>
                <w:bCs/>
                <w:szCs w:val="20"/>
              </w:rPr>
              <w:t>Określenie sposobu oceny wyhodowanych drobnoustrojów</w:t>
            </w:r>
          </w:p>
          <w:p w:rsidR="001F5001" w:rsidRPr="001F5001" w:rsidRDefault="001F5001" w:rsidP="00A7011B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  <w:bCs/>
              </w:rPr>
            </w:pPr>
            <w:r w:rsidRPr="001F5001">
              <w:rPr>
                <w:rFonts w:ascii="Garamond" w:eastAsia="Times New Roman" w:hAnsi="Garamond" w:cs="Arial Narrow"/>
                <w:bCs/>
              </w:rPr>
              <w:t>Kontrola jakości podłoża</w:t>
            </w:r>
          </w:p>
        </w:tc>
        <w:tc>
          <w:tcPr>
            <w:tcW w:w="2313" w:type="dxa"/>
            <w:vAlign w:val="center"/>
          </w:tcPr>
          <w:p w:rsidR="001F5001" w:rsidRPr="001F5001" w:rsidRDefault="001F5001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</w:rPr>
            </w:pPr>
          </w:p>
        </w:tc>
      </w:tr>
      <w:tr w:rsidR="001F5001" w:rsidRPr="001F5001" w:rsidTr="00CB2E97">
        <w:trPr>
          <w:trHeight w:val="125"/>
        </w:trPr>
        <w:tc>
          <w:tcPr>
            <w:tcW w:w="597" w:type="dxa"/>
            <w:vAlign w:val="center"/>
          </w:tcPr>
          <w:p w:rsidR="001F5001" w:rsidRPr="001F5001" w:rsidRDefault="001F5001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</w:rPr>
            </w:pPr>
            <w:r w:rsidRPr="001F5001">
              <w:rPr>
                <w:rFonts w:ascii="Garamond" w:eastAsia="Times New Roman" w:hAnsi="Garamond" w:cs="Arial Narrow"/>
              </w:rPr>
              <w:t>3</w:t>
            </w:r>
          </w:p>
        </w:tc>
        <w:tc>
          <w:tcPr>
            <w:tcW w:w="6866" w:type="dxa"/>
            <w:vAlign w:val="center"/>
          </w:tcPr>
          <w:p w:rsidR="001F5001" w:rsidRPr="001F5001" w:rsidRDefault="001F5001" w:rsidP="00A7011B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>
              <w:rPr>
                <w:rFonts w:ascii="Garamond" w:eastAsia="Times New Roman" w:hAnsi="Garamond" w:cs="Arial Narrow"/>
              </w:rPr>
              <w:t xml:space="preserve">Każda probówka z </w:t>
            </w:r>
            <w:r w:rsidRPr="001F5001">
              <w:rPr>
                <w:rFonts w:ascii="Garamond" w:eastAsia="Times New Roman" w:hAnsi="Garamond" w:cs="Arial Narrow"/>
              </w:rPr>
              <w:t xml:space="preserve"> podłożem oznaczona na powierzchni czytelnym nadrukiem</w:t>
            </w:r>
            <w:r>
              <w:rPr>
                <w:rFonts w:ascii="Garamond" w:eastAsia="Times New Roman" w:hAnsi="Garamond" w:cs="Arial Narrow"/>
              </w:rPr>
              <w:t xml:space="preserve"> lub trwałą naklejką z nadrukiem zawierającą</w:t>
            </w:r>
            <w:r w:rsidRPr="001F5001">
              <w:rPr>
                <w:rFonts w:ascii="Garamond" w:eastAsia="Times New Roman" w:hAnsi="Garamond" w:cs="Arial Narrow"/>
              </w:rPr>
              <w:t xml:space="preserve"> informację: nazwa producenta, nazwa lub symbol podłoża, numer serii, godzina rozlania, data ważności</w:t>
            </w:r>
            <w:r w:rsidR="00A7011B">
              <w:rPr>
                <w:rFonts w:ascii="Garamond" w:eastAsia="Times New Roman" w:hAnsi="Garamond" w:cs="Arial Narrow"/>
              </w:rPr>
              <w:t>.</w:t>
            </w:r>
          </w:p>
        </w:tc>
        <w:tc>
          <w:tcPr>
            <w:tcW w:w="2313" w:type="dxa"/>
            <w:vAlign w:val="center"/>
          </w:tcPr>
          <w:p w:rsidR="001F5001" w:rsidRPr="001F5001" w:rsidRDefault="001F5001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</w:rPr>
            </w:pPr>
          </w:p>
        </w:tc>
      </w:tr>
      <w:tr w:rsidR="001F5001" w:rsidRPr="001F5001" w:rsidTr="00CB2E97">
        <w:trPr>
          <w:trHeight w:val="250"/>
        </w:trPr>
        <w:tc>
          <w:tcPr>
            <w:tcW w:w="597" w:type="dxa"/>
            <w:vAlign w:val="center"/>
          </w:tcPr>
          <w:p w:rsidR="001F5001" w:rsidRPr="001F5001" w:rsidRDefault="00A7011B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</w:rPr>
            </w:pPr>
            <w:r>
              <w:rPr>
                <w:rFonts w:ascii="Garamond" w:eastAsia="Times New Roman" w:hAnsi="Garamond" w:cs="Arial Narrow"/>
              </w:rPr>
              <w:t>4</w:t>
            </w:r>
          </w:p>
        </w:tc>
        <w:tc>
          <w:tcPr>
            <w:tcW w:w="6866" w:type="dxa"/>
            <w:vAlign w:val="center"/>
          </w:tcPr>
          <w:p w:rsidR="001F5001" w:rsidRPr="001F5001" w:rsidRDefault="001F5001" w:rsidP="00A7011B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>
              <w:rPr>
                <w:rFonts w:ascii="Garamond" w:eastAsia="Times New Roman" w:hAnsi="Garamond" w:cs="Arial Narrow"/>
              </w:rPr>
              <w:t>Probówki</w:t>
            </w:r>
            <w:r w:rsidRPr="001F5001">
              <w:rPr>
                <w:rFonts w:ascii="Garamond" w:eastAsia="Times New Roman" w:hAnsi="Garamond" w:cs="Arial Narrow"/>
              </w:rPr>
              <w:t xml:space="preserve"> z podłożem za</w:t>
            </w:r>
            <w:r>
              <w:rPr>
                <w:rFonts w:ascii="Garamond" w:eastAsia="Times New Roman" w:hAnsi="Garamond" w:cs="Arial Narrow"/>
              </w:rPr>
              <w:t>pakowane w pudełku</w:t>
            </w:r>
            <w:r w:rsidRPr="001F5001">
              <w:rPr>
                <w:rFonts w:ascii="Garamond" w:eastAsia="Times New Roman" w:hAnsi="Garamond" w:cs="Arial Narrow"/>
              </w:rPr>
              <w:t>. Pudełko oznakowane nazwą podłoża, nazwą producenta, datą ważności</w:t>
            </w:r>
            <w:r w:rsidR="00A7011B">
              <w:rPr>
                <w:rFonts w:ascii="Garamond" w:eastAsia="Times New Roman" w:hAnsi="Garamond" w:cs="Arial Narrow"/>
              </w:rPr>
              <w:t>.</w:t>
            </w:r>
          </w:p>
        </w:tc>
        <w:tc>
          <w:tcPr>
            <w:tcW w:w="2313" w:type="dxa"/>
            <w:vAlign w:val="center"/>
          </w:tcPr>
          <w:p w:rsidR="001F5001" w:rsidRPr="001F5001" w:rsidRDefault="001F5001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</w:rPr>
            </w:pPr>
          </w:p>
        </w:tc>
      </w:tr>
      <w:tr w:rsidR="001F5001" w:rsidRPr="001F5001" w:rsidTr="00CB2E97">
        <w:trPr>
          <w:trHeight w:val="250"/>
        </w:trPr>
        <w:tc>
          <w:tcPr>
            <w:tcW w:w="597" w:type="dxa"/>
            <w:vAlign w:val="center"/>
          </w:tcPr>
          <w:p w:rsidR="001F5001" w:rsidRPr="001F5001" w:rsidRDefault="00A7011B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</w:rPr>
            </w:pPr>
            <w:r>
              <w:rPr>
                <w:rFonts w:ascii="Garamond" w:eastAsia="Times New Roman" w:hAnsi="Garamond" w:cs="Arial Narrow"/>
              </w:rPr>
              <w:t>5</w:t>
            </w:r>
          </w:p>
        </w:tc>
        <w:tc>
          <w:tcPr>
            <w:tcW w:w="6866" w:type="dxa"/>
            <w:vAlign w:val="center"/>
          </w:tcPr>
          <w:p w:rsidR="001F5001" w:rsidRPr="001F5001" w:rsidRDefault="001F5001" w:rsidP="00A7011B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>
              <w:rPr>
                <w:rFonts w:ascii="Garamond" w:eastAsia="Times New Roman" w:hAnsi="Garamond" w:cs="Arial Narrow"/>
              </w:rPr>
              <w:t>Powierzchnia podłoży stałych (skos): gładka, pozbawiona wszelkich nierówności, nie zawierająca nadmiernej ilości wody kondensacyjnej lub nadmiernie wysuszona</w:t>
            </w:r>
            <w:r w:rsidR="00A7011B">
              <w:rPr>
                <w:rFonts w:ascii="Garamond" w:eastAsia="Times New Roman" w:hAnsi="Garamond" w:cs="Arial Narrow"/>
              </w:rPr>
              <w:t>.</w:t>
            </w:r>
          </w:p>
        </w:tc>
        <w:tc>
          <w:tcPr>
            <w:tcW w:w="2313" w:type="dxa"/>
          </w:tcPr>
          <w:p w:rsidR="001F5001" w:rsidRPr="001F5001" w:rsidRDefault="001F5001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  <w:snapToGrid w:val="0"/>
              </w:rPr>
            </w:pPr>
          </w:p>
        </w:tc>
      </w:tr>
      <w:tr w:rsidR="001F5001" w:rsidRPr="001F5001" w:rsidTr="00CB2E97">
        <w:trPr>
          <w:trHeight w:val="250"/>
        </w:trPr>
        <w:tc>
          <w:tcPr>
            <w:tcW w:w="597" w:type="dxa"/>
            <w:vAlign w:val="center"/>
          </w:tcPr>
          <w:p w:rsidR="001F5001" w:rsidRPr="001F5001" w:rsidRDefault="00A7011B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</w:rPr>
            </w:pPr>
            <w:r>
              <w:rPr>
                <w:rFonts w:ascii="Garamond" w:eastAsia="Times New Roman" w:hAnsi="Garamond" w:cs="Arial Narrow"/>
              </w:rPr>
              <w:t>6</w:t>
            </w:r>
          </w:p>
        </w:tc>
        <w:tc>
          <w:tcPr>
            <w:tcW w:w="6866" w:type="dxa"/>
            <w:vAlign w:val="center"/>
          </w:tcPr>
          <w:p w:rsidR="001F5001" w:rsidRPr="001F5001" w:rsidRDefault="001F5001" w:rsidP="00A7011B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 w:rsidRPr="001F5001">
              <w:rPr>
                <w:rFonts w:ascii="Garamond" w:eastAsia="Times New Roman" w:hAnsi="Garamond" w:cs="Arial Narrow"/>
              </w:rPr>
              <w:t>Minima</w:t>
            </w:r>
            <w:r>
              <w:rPr>
                <w:rFonts w:ascii="Garamond" w:eastAsia="Times New Roman" w:hAnsi="Garamond" w:cs="Arial Narrow"/>
              </w:rPr>
              <w:t>lny termin ważności podłoża 6-8</w:t>
            </w:r>
            <w:r w:rsidRPr="001F5001">
              <w:rPr>
                <w:rFonts w:ascii="Garamond" w:eastAsia="Times New Roman" w:hAnsi="Garamond" w:cs="Arial Narrow"/>
              </w:rPr>
              <w:t xml:space="preserve"> tygodni od daty dostawy</w:t>
            </w:r>
            <w:r w:rsidR="00A7011B">
              <w:rPr>
                <w:rFonts w:ascii="Garamond" w:eastAsia="Times New Roman" w:hAnsi="Garamond" w:cs="Arial Narrow"/>
              </w:rPr>
              <w:t>.</w:t>
            </w:r>
          </w:p>
        </w:tc>
        <w:tc>
          <w:tcPr>
            <w:tcW w:w="2313" w:type="dxa"/>
          </w:tcPr>
          <w:p w:rsidR="001F5001" w:rsidRPr="001F5001" w:rsidRDefault="001F5001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</w:rPr>
            </w:pPr>
          </w:p>
        </w:tc>
      </w:tr>
      <w:tr w:rsidR="001F5001" w:rsidRPr="001F5001" w:rsidTr="00CB2E97">
        <w:trPr>
          <w:trHeight w:val="250"/>
        </w:trPr>
        <w:tc>
          <w:tcPr>
            <w:tcW w:w="597" w:type="dxa"/>
            <w:vAlign w:val="center"/>
          </w:tcPr>
          <w:p w:rsidR="001F5001" w:rsidRPr="001F5001" w:rsidRDefault="00A7011B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</w:rPr>
            </w:pPr>
            <w:r>
              <w:rPr>
                <w:rFonts w:ascii="Garamond" w:eastAsia="Times New Roman" w:hAnsi="Garamond" w:cs="Arial Narrow"/>
              </w:rPr>
              <w:t>7</w:t>
            </w:r>
          </w:p>
        </w:tc>
        <w:tc>
          <w:tcPr>
            <w:tcW w:w="6866" w:type="dxa"/>
            <w:vAlign w:val="center"/>
          </w:tcPr>
          <w:p w:rsidR="001F5001" w:rsidRPr="001F5001" w:rsidRDefault="001F5001" w:rsidP="00A7011B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 w:rsidRPr="001F5001">
              <w:rPr>
                <w:rFonts w:ascii="Garamond" w:eastAsia="Times New Roman" w:hAnsi="Garamond" w:cs="Arial Narrow"/>
              </w:rPr>
              <w:t>Zachowana barwa pożywki, wyg</w:t>
            </w:r>
            <w:r w:rsidR="00472EB3">
              <w:rPr>
                <w:rFonts w:ascii="Garamond" w:eastAsia="Times New Roman" w:hAnsi="Garamond" w:cs="Arial Narrow"/>
              </w:rPr>
              <w:t>ląd oraz grubość skosu</w:t>
            </w:r>
            <w:r w:rsidRPr="001F5001">
              <w:rPr>
                <w:rFonts w:ascii="Garamond" w:eastAsia="Times New Roman" w:hAnsi="Garamond" w:cs="Arial Narrow"/>
              </w:rPr>
              <w:t xml:space="preserve"> w okr</w:t>
            </w:r>
            <w:r w:rsidR="00472EB3">
              <w:rPr>
                <w:rFonts w:ascii="Garamond" w:eastAsia="Times New Roman" w:hAnsi="Garamond" w:cs="Arial Narrow"/>
              </w:rPr>
              <w:t>esie terminu ważności w warunkach przechowywania wskazanych przez producenta</w:t>
            </w:r>
            <w:r w:rsidR="00A7011B">
              <w:rPr>
                <w:rFonts w:ascii="Garamond" w:eastAsia="Times New Roman" w:hAnsi="Garamond" w:cs="Arial Narrow"/>
              </w:rPr>
              <w:t>.</w:t>
            </w:r>
          </w:p>
        </w:tc>
        <w:tc>
          <w:tcPr>
            <w:tcW w:w="2313" w:type="dxa"/>
          </w:tcPr>
          <w:p w:rsidR="001F5001" w:rsidRPr="001F5001" w:rsidRDefault="001F5001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</w:rPr>
            </w:pPr>
          </w:p>
        </w:tc>
      </w:tr>
      <w:tr w:rsidR="001F5001" w:rsidRPr="001F5001" w:rsidTr="00CB2E97">
        <w:trPr>
          <w:trHeight w:val="250"/>
        </w:trPr>
        <w:tc>
          <w:tcPr>
            <w:tcW w:w="597" w:type="dxa"/>
            <w:vAlign w:val="center"/>
          </w:tcPr>
          <w:p w:rsidR="001F5001" w:rsidRPr="001F5001" w:rsidRDefault="00A7011B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</w:rPr>
            </w:pPr>
            <w:r>
              <w:rPr>
                <w:rFonts w:ascii="Garamond" w:eastAsia="Times New Roman" w:hAnsi="Garamond" w:cs="Arial Narrow"/>
              </w:rPr>
              <w:t>8</w:t>
            </w:r>
          </w:p>
        </w:tc>
        <w:tc>
          <w:tcPr>
            <w:tcW w:w="6866" w:type="dxa"/>
            <w:vAlign w:val="center"/>
          </w:tcPr>
          <w:p w:rsidR="001F5001" w:rsidRPr="001F5001" w:rsidRDefault="001F5001" w:rsidP="00A7011B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 w:rsidRPr="001F5001">
              <w:rPr>
                <w:rFonts w:ascii="Garamond" w:eastAsia="Times New Roman" w:hAnsi="Garamond" w:cs="Arial Narrow"/>
              </w:rPr>
              <w:t>Zachowana jałowość podłoża w okresie terminu ważności w warunkach przechowywania wskazanych przez producenta</w:t>
            </w:r>
            <w:r w:rsidR="00A7011B">
              <w:rPr>
                <w:rFonts w:ascii="Garamond" w:eastAsia="Times New Roman" w:hAnsi="Garamond" w:cs="Arial Narrow"/>
              </w:rPr>
              <w:t>.</w:t>
            </w:r>
          </w:p>
        </w:tc>
        <w:tc>
          <w:tcPr>
            <w:tcW w:w="2313" w:type="dxa"/>
          </w:tcPr>
          <w:p w:rsidR="001F5001" w:rsidRPr="001F5001" w:rsidRDefault="001F5001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</w:rPr>
            </w:pPr>
          </w:p>
        </w:tc>
      </w:tr>
      <w:tr w:rsidR="00472EB3" w:rsidRPr="001F5001" w:rsidTr="00CB2E97">
        <w:trPr>
          <w:trHeight w:val="250"/>
        </w:trPr>
        <w:tc>
          <w:tcPr>
            <w:tcW w:w="597" w:type="dxa"/>
            <w:vAlign w:val="center"/>
          </w:tcPr>
          <w:p w:rsidR="00472EB3" w:rsidRPr="001F5001" w:rsidRDefault="00A7011B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</w:rPr>
            </w:pPr>
            <w:r>
              <w:rPr>
                <w:rFonts w:ascii="Garamond" w:eastAsia="Times New Roman" w:hAnsi="Garamond" w:cs="Arial Narrow"/>
              </w:rPr>
              <w:t>9</w:t>
            </w:r>
          </w:p>
        </w:tc>
        <w:tc>
          <w:tcPr>
            <w:tcW w:w="6866" w:type="dxa"/>
            <w:vAlign w:val="center"/>
          </w:tcPr>
          <w:p w:rsidR="00472EB3" w:rsidRPr="001F5001" w:rsidRDefault="00472EB3" w:rsidP="00A7011B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 Narrow"/>
              </w:rPr>
            </w:pPr>
            <w:r>
              <w:rPr>
                <w:rFonts w:ascii="Garamond" w:eastAsia="Times New Roman" w:hAnsi="Garamond" w:cs="Arial Narrow"/>
              </w:rPr>
              <w:t>Jednoznaczna interpretacja wyników reakcji zgodna z instrukcją techniczną producenta</w:t>
            </w:r>
            <w:r w:rsidR="00A7011B">
              <w:rPr>
                <w:rFonts w:ascii="Garamond" w:eastAsia="Times New Roman" w:hAnsi="Garamond" w:cs="Arial Narrow"/>
              </w:rPr>
              <w:t>.</w:t>
            </w:r>
          </w:p>
        </w:tc>
        <w:tc>
          <w:tcPr>
            <w:tcW w:w="2313" w:type="dxa"/>
          </w:tcPr>
          <w:p w:rsidR="00472EB3" w:rsidRPr="001F5001" w:rsidRDefault="00472EB3" w:rsidP="001F500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 Narrow"/>
              </w:rPr>
            </w:pPr>
          </w:p>
        </w:tc>
      </w:tr>
    </w:tbl>
    <w:p w:rsidR="00737D41" w:rsidRDefault="00737D41" w:rsidP="00CB2E97">
      <w:pPr>
        <w:spacing w:after="0"/>
        <w:rPr>
          <w:rFonts w:ascii="Garamond" w:hAnsi="Garamond"/>
          <w:b/>
        </w:rPr>
      </w:pPr>
    </w:p>
    <w:p w:rsidR="00CB2E97" w:rsidRPr="007145B4" w:rsidRDefault="00CB2E97" w:rsidP="00CB2E97">
      <w:pPr>
        <w:spacing w:after="0"/>
        <w:rPr>
          <w:rFonts w:ascii="Garamond" w:hAnsi="Garamond"/>
          <w:b/>
        </w:rPr>
      </w:pPr>
      <w:r w:rsidRPr="007145B4">
        <w:rPr>
          <w:rFonts w:ascii="Garamond" w:hAnsi="Garamond"/>
          <w:b/>
        </w:rPr>
        <w:t xml:space="preserve">*Uwaga! </w:t>
      </w:r>
    </w:p>
    <w:p w:rsidR="00CB2E97" w:rsidRPr="007145B4" w:rsidRDefault="00CB2E97" w:rsidP="00CB2E97">
      <w:pPr>
        <w:spacing w:after="0"/>
        <w:jc w:val="both"/>
        <w:rPr>
          <w:rFonts w:ascii="Garamond" w:hAnsi="Garamond"/>
          <w:color w:val="FF0000"/>
        </w:rPr>
      </w:pPr>
      <w:r w:rsidRPr="007145B4">
        <w:rPr>
          <w:rFonts w:ascii="Garamond" w:hAnsi="Garamond"/>
          <w:color w:val="FF0000"/>
        </w:rPr>
        <w:t>Nie spełnienie któregokolwiek z wymagań granicznych przedstawionych w tabeli powy</w:t>
      </w:r>
      <w:r>
        <w:rPr>
          <w:rFonts w:ascii="Garamond" w:hAnsi="Garamond"/>
          <w:color w:val="FF0000"/>
        </w:rPr>
        <w:t>żej spowoduje odrzucenie oferty.</w:t>
      </w:r>
      <w:r w:rsidRPr="007145B4">
        <w:rPr>
          <w:rFonts w:ascii="Garamond" w:hAnsi="Garamond"/>
          <w:color w:val="FF0000"/>
        </w:rPr>
        <w:t xml:space="preserve"> </w:t>
      </w:r>
      <w:bookmarkStart w:id="0" w:name="_GoBack"/>
      <w:bookmarkEnd w:id="0"/>
    </w:p>
    <w:sectPr w:rsidR="00CB2E97" w:rsidRPr="007145B4" w:rsidSect="00737D41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88A" w:rsidRDefault="004C388A" w:rsidP="00974825">
      <w:pPr>
        <w:spacing w:after="0" w:line="240" w:lineRule="auto"/>
      </w:pPr>
      <w:r>
        <w:separator/>
      </w:r>
    </w:p>
  </w:endnote>
  <w:endnote w:type="continuationSeparator" w:id="0">
    <w:p w:rsidR="004C388A" w:rsidRDefault="004C388A" w:rsidP="0097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D41" w:rsidRDefault="00737D41" w:rsidP="00737D41">
    <w:pPr>
      <w:pStyle w:val="Stopka"/>
      <w:jc w:val="center"/>
      <w:rPr>
        <w:rFonts w:ascii="Garamond" w:hAnsi="Garamond"/>
        <w:b/>
        <w:bCs/>
        <w:sz w:val="20"/>
        <w:szCs w:val="20"/>
      </w:rPr>
    </w:pPr>
    <w:r w:rsidRPr="00FE4417">
      <w:rPr>
        <w:rFonts w:ascii="Garamond" w:hAnsi="Garamond"/>
        <w:sz w:val="20"/>
        <w:szCs w:val="20"/>
      </w:rPr>
      <w:t xml:space="preserve">Strona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PAGE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29333F">
      <w:rPr>
        <w:rFonts w:ascii="Garamond" w:hAnsi="Garamond"/>
        <w:b/>
        <w:bCs/>
        <w:noProof/>
        <w:sz w:val="20"/>
        <w:szCs w:val="20"/>
      </w:rPr>
      <w:t>1</w:t>
    </w:r>
    <w:r w:rsidRPr="00FE4417">
      <w:rPr>
        <w:rFonts w:ascii="Garamond" w:hAnsi="Garamond"/>
        <w:b/>
        <w:bCs/>
        <w:sz w:val="20"/>
        <w:szCs w:val="20"/>
      </w:rPr>
      <w:fldChar w:fldCharType="end"/>
    </w:r>
    <w:r w:rsidRPr="00FE4417">
      <w:rPr>
        <w:rFonts w:ascii="Garamond" w:hAnsi="Garamond"/>
        <w:sz w:val="20"/>
        <w:szCs w:val="20"/>
      </w:rPr>
      <w:t xml:space="preserve"> z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NUMPAGES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29333F">
      <w:rPr>
        <w:rFonts w:ascii="Garamond" w:hAnsi="Garamond"/>
        <w:b/>
        <w:bCs/>
        <w:noProof/>
        <w:sz w:val="20"/>
        <w:szCs w:val="20"/>
      </w:rPr>
      <w:t>1</w:t>
    </w:r>
    <w:r w:rsidRPr="00FE4417">
      <w:rPr>
        <w:rFonts w:ascii="Garamond" w:hAnsi="Garamond"/>
        <w:b/>
        <w:bCs/>
        <w:sz w:val="20"/>
        <w:szCs w:val="20"/>
      </w:rPr>
      <w:fldChar w:fldCharType="end"/>
    </w:r>
  </w:p>
  <w:p w:rsidR="00737D41" w:rsidRDefault="00737D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88A" w:rsidRDefault="004C388A" w:rsidP="00974825">
      <w:pPr>
        <w:spacing w:after="0" w:line="240" w:lineRule="auto"/>
      </w:pPr>
      <w:r>
        <w:separator/>
      </w:r>
    </w:p>
  </w:footnote>
  <w:footnote w:type="continuationSeparator" w:id="0">
    <w:p w:rsidR="004C388A" w:rsidRDefault="004C388A" w:rsidP="0097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0C3" w:rsidRDefault="00B540C3" w:rsidP="00B540C3">
    <w:pPr>
      <w:rPr>
        <w:rFonts w:ascii="Garamond" w:hAnsi="Garamond"/>
      </w:rPr>
    </w:pPr>
    <w:r>
      <w:rPr>
        <w:rFonts w:ascii="Garamond" w:hAnsi="Garamond"/>
      </w:rPr>
      <w:t xml:space="preserve">NSSU.DFP.271.47.2019.EP    </w:t>
    </w:r>
    <w:r w:rsidR="00737D41">
      <w:rPr>
        <w:rFonts w:ascii="Garamond" w:hAnsi="Garamond"/>
      </w:rPr>
      <w:t xml:space="preserve">                               </w:t>
    </w:r>
    <w:r>
      <w:rPr>
        <w:rFonts w:ascii="Garamond" w:hAnsi="Garamond"/>
      </w:rPr>
      <w:t xml:space="preserve">                                                                                                               </w:t>
    </w:r>
  </w:p>
  <w:p w:rsidR="00B540C3" w:rsidRPr="00784206" w:rsidRDefault="00B540C3" w:rsidP="00B540C3">
    <w:pPr>
      <w:jc w:val="right"/>
      <w:rPr>
        <w:rFonts w:ascii="Garamond" w:hAnsi="Garamond"/>
      </w:rPr>
    </w:pPr>
    <w:r w:rsidRPr="00784206">
      <w:rPr>
        <w:rFonts w:ascii="Garamond" w:hAnsi="Garamond"/>
        <w:bCs/>
      </w:rPr>
      <w:t>Załącznik 1b do specyfikacji</w:t>
    </w:r>
  </w:p>
  <w:p w:rsidR="00974825" w:rsidRPr="00B540C3" w:rsidRDefault="00B540C3" w:rsidP="00B540C3">
    <w:pPr>
      <w:pStyle w:val="Nagwek"/>
      <w:jc w:val="center"/>
    </w:pPr>
    <w:r>
      <w:rPr>
        <w:rFonts w:ascii="Garamond" w:hAnsi="Garamond"/>
        <w:bCs/>
      </w:rPr>
      <w:t>Część 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E0691"/>
    <w:multiLevelType w:val="hybridMultilevel"/>
    <w:tmpl w:val="4886B5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726E4"/>
    <w:multiLevelType w:val="hybridMultilevel"/>
    <w:tmpl w:val="CFB61E9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7E6812"/>
    <w:multiLevelType w:val="hybridMultilevel"/>
    <w:tmpl w:val="B54A828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9E6AB5"/>
    <w:multiLevelType w:val="hybridMultilevel"/>
    <w:tmpl w:val="66E26C6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48"/>
    <w:rsid w:val="000C1C36"/>
    <w:rsid w:val="001F5001"/>
    <w:rsid w:val="0029333F"/>
    <w:rsid w:val="003E2021"/>
    <w:rsid w:val="00472EB3"/>
    <w:rsid w:val="004C388A"/>
    <w:rsid w:val="004E2550"/>
    <w:rsid w:val="00737D41"/>
    <w:rsid w:val="00974825"/>
    <w:rsid w:val="00A7011B"/>
    <w:rsid w:val="00B540C3"/>
    <w:rsid w:val="00B62048"/>
    <w:rsid w:val="00CB2E97"/>
    <w:rsid w:val="00EC49EE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202B3"/>
  <w15:docId w15:val="{80D9038F-0529-4C3B-ABAD-EDF50855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CB2E9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FF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5001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1F5001"/>
    <w:rPr>
      <w:b/>
      <w:bCs/>
      <w:smallCap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7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825"/>
  </w:style>
  <w:style w:type="paragraph" w:styleId="Stopka">
    <w:name w:val="footer"/>
    <w:basedOn w:val="Normalny"/>
    <w:link w:val="StopkaZnak"/>
    <w:uiPriority w:val="99"/>
    <w:unhideWhenUsed/>
    <w:rsid w:val="0097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825"/>
  </w:style>
  <w:style w:type="paragraph" w:styleId="Tekstpodstawowywcity">
    <w:name w:val="Body Text Indent"/>
    <w:basedOn w:val="Normalny"/>
    <w:link w:val="TekstpodstawowywcityZnak"/>
    <w:rsid w:val="00B540C3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40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B2E97"/>
    <w:rPr>
      <w:rFonts w:ascii="Times New Roman" w:eastAsia="Times New Roman" w:hAnsi="Times New Roman" w:cs="Times New Roman"/>
      <w:b/>
      <w:bCs/>
      <w:color w:val="FF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bioM</dc:creator>
  <cp:keywords/>
  <dc:description/>
  <cp:lastModifiedBy>Edyta Prokopiuk</cp:lastModifiedBy>
  <cp:revision>6</cp:revision>
  <cp:lastPrinted>2019-07-19T08:18:00Z</cp:lastPrinted>
  <dcterms:created xsi:type="dcterms:W3CDTF">2019-06-17T15:52:00Z</dcterms:created>
  <dcterms:modified xsi:type="dcterms:W3CDTF">2019-07-19T08:18:00Z</dcterms:modified>
</cp:coreProperties>
</file>