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27" w:rsidRDefault="00180C4E" w:rsidP="004A7F2C">
      <w:pPr>
        <w:jc w:val="center"/>
        <w:rPr>
          <w:rFonts w:asciiTheme="majorHAnsi" w:eastAsiaTheme="majorEastAsia" w:hAnsiTheme="majorHAnsi" w:cstheme="majorHAnsi"/>
          <w:spacing w:val="-10"/>
          <w:kern w:val="28"/>
        </w:rPr>
      </w:pPr>
      <w:r>
        <w:rPr>
          <w:rFonts w:asciiTheme="majorHAnsi" w:eastAsiaTheme="majorEastAsia" w:hAnsiTheme="majorHAnsi" w:cstheme="majorHAnsi"/>
          <w:spacing w:val="-10"/>
          <w:kern w:val="28"/>
          <w:highlight w:val="yellow"/>
        </w:rPr>
        <w:t>Załącznik nr 1c</w:t>
      </w:r>
      <w:r w:rsidR="003B1108" w:rsidRPr="003B1108">
        <w:rPr>
          <w:rFonts w:asciiTheme="majorHAnsi" w:eastAsiaTheme="majorEastAsia" w:hAnsiTheme="majorHAnsi" w:cstheme="majorHAnsi"/>
          <w:spacing w:val="-10"/>
          <w:kern w:val="28"/>
          <w:highlight w:val="yellow"/>
        </w:rPr>
        <w:t xml:space="preserve"> do specyfikacji - wymogi do serwera </w:t>
      </w:r>
      <w:r w:rsidR="00B12CE2">
        <w:rPr>
          <w:rFonts w:asciiTheme="majorHAnsi" w:eastAsiaTheme="majorEastAsia" w:hAnsiTheme="majorHAnsi" w:cstheme="majorHAnsi"/>
          <w:spacing w:val="-10"/>
          <w:kern w:val="28"/>
          <w:highlight w:val="yellow"/>
        </w:rPr>
        <w:t>–</w:t>
      </w:r>
      <w:r w:rsidR="003B1108" w:rsidRPr="003B1108">
        <w:rPr>
          <w:rFonts w:asciiTheme="majorHAnsi" w:eastAsiaTheme="majorEastAsia" w:hAnsiTheme="majorHAnsi" w:cstheme="majorHAnsi"/>
          <w:spacing w:val="-10"/>
          <w:kern w:val="28"/>
          <w:highlight w:val="yellow"/>
        </w:rPr>
        <w:t xml:space="preserve"> hardware</w:t>
      </w:r>
    </w:p>
    <w:p w:rsidR="00B12CE2" w:rsidRPr="004D4BCC" w:rsidRDefault="00B12CE2" w:rsidP="004A7F2C">
      <w:pPr>
        <w:jc w:val="center"/>
        <w:rPr>
          <w:rFonts w:asciiTheme="majorHAnsi" w:hAnsiTheme="majorHAnsi" w:cstheme="majorHAnsi"/>
          <w:color w:val="FF0000"/>
        </w:rPr>
      </w:pPr>
      <w:r w:rsidRPr="004D4BCC">
        <w:rPr>
          <w:rFonts w:asciiTheme="majorHAnsi" w:eastAsiaTheme="majorEastAsia" w:hAnsiTheme="majorHAnsi" w:cstheme="majorHAnsi"/>
          <w:color w:val="FF0000"/>
          <w:spacing w:val="-10"/>
          <w:kern w:val="28"/>
        </w:rPr>
        <w:t xml:space="preserve">(przypadek, gdy Wykonawca wymaga </w:t>
      </w:r>
      <w:r w:rsidR="004D4BCC" w:rsidRPr="004D4BCC">
        <w:rPr>
          <w:rFonts w:asciiTheme="majorHAnsi" w:eastAsiaTheme="majorEastAsia" w:hAnsiTheme="majorHAnsi" w:cstheme="majorHAnsi"/>
          <w:color w:val="FF0000"/>
          <w:spacing w:val="-10"/>
          <w:kern w:val="28"/>
        </w:rPr>
        <w:t xml:space="preserve">do instalacji dostarczonego systemu </w:t>
      </w:r>
      <w:r w:rsidRPr="004D4BCC">
        <w:rPr>
          <w:rFonts w:asciiTheme="majorHAnsi" w:eastAsiaTheme="majorEastAsia" w:hAnsiTheme="majorHAnsi" w:cstheme="majorHAnsi"/>
          <w:color w:val="FF0000"/>
          <w:spacing w:val="-10"/>
          <w:kern w:val="28"/>
        </w:rPr>
        <w:t xml:space="preserve">innej bazy serwerowo-programowej – niż </w:t>
      </w:r>
      <w:r w:rsidR="009B7D49" w:rsidRPr="009B7D49">
        <w:rPr>
          <w:rFonts w:asciiTheme="majorHAnsi" w:eastAsiaTheme="majorEastAsia" w:hAnsiTheme="majorHAnsi" w:cstheme="majorHAnsi"/>
          <w:color w:val="FF0000"/>
          <w:spacing w:val="-10"/>
          <w:kern w:val="28"/>
        </w:rPr>
        <w:t>posiadana przez Zamawiającego</w:t>
      </w:r>
      <w:bookmarkStart w:id="0" w:name="_GoBack"/>
      <w:bookmarkEnd w:id="0"/>
      <w:r w:rsidR="004D4BCC" w:rsidRPr="004D4BCC">
        <w:rPr>
          <w:rFonts w:asciiTheme="majorHAnsi" w:eastAsiaTheme="majorEastAsia" w:hAnsiTheme="majorHAnsi" w:cstheme="majorHAnsi"/>
          <w:color w:val="FF0000"/>
          <w:spacing w:val="-10"/>
          <w:kern w:val="28"/>
        </w:rPr>
        <w:t xml:space="preserve"> zgodnie z zapisami w punkcie 2.10.7 Załącznika nr 1a)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1E0" w:firstRow="1" w:lastRow="1" w:firstColumn="1" w:lastColumn="1" w:noHBand="0" w:noVBand="0"/>
      </w:tblPr>
      <w:tblGrid>
        <w:gridCol w:w="8647"/>
      </w:tblGrid>
      <w:tr w:rsidR="00332A49" w:rsidRPr="003B1108" w:rsidTr="00332A49">
        <w:trPr>
          <w:trHeight w:val="360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B1108">
              <w:rPr>
                <w:rFonts w:asciiTheme="majorHAnsi" w:hAnsiTheme="majorHAnsi" w:cstheme="majorHAnsi"/>
                <w:b/>
                <w:bCs/>
              </w:rPr>
              <w:t>Parametr wymagany</w:t>
            </w:r>
          </w:p>
        </w:tc>
      </w:tr>
      <w:tr w:rsidR="00332A49" w:rsidRPr="003B1108" w:rsidTr="003B1108">
        <w:trPr>
          <w:trHeight w:val="920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 xml:space="preserve">Możliwość montażu w szafach </w:t>
            </w:r>
            <w:proofErr w:type="spellStart"/>
            <w:r w:rsidRPr="003B1108">
              <w:rPr>
                <w:rFonts w:asciiTheme="majorHAnsi" w:hAnsiTheme="majorHAnsi" w:cstheme="majorHAnsi"/>
              </w:rPr>
              <w:t>Rack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19” posiadanych przez Zamawiającego. Wykonawca dostarczy komplet elementów montażowych w szczególności szyny montażowe i ramię prowadzenia okablowania umożliwiające wysuwanie serwera w szafie </w:t>
            </w:r>
          </w:p>
        </w:tc>
      </w:tr>
      <w:tr w:rsidR="00332A49" w:rsidRPr="003B1108" w:rsidTr="003B1108">
        <w:trPr>
          <w:trHeight w:val="309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Rozmiar serwera nie więcej niż 2U</w:t>
            </w:r>
          </w:p>
        </w:tc>
      </w:tr>
      <w:tr w:rsidR="00332A49" w:rsidRPr="003B1108" w:rsidTr="003B1108">
        <w:trPr>
          <w:trHeight w:val="402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Procesor w architekturze  x86-64. Posiadający nie mniej niż 8 rdzeni.</w:t>
            </w:r>
          </w:p>
        </w:tc>
      </w:tr>
      <w:tr w:rsidR="00332A49" w:rsidRPr="003B1108" w:rsidTr="003B1108">
        <w:trPr>
          <w:trHeight w:val="663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Ilość pamięci RAM wystarczaj</w:t>
            </w:r>
            <w:r w:rsidR="003B1108">
              <w:rPr>
                <w:rFonts w:asciiTheme="majorHAnsi" w:hAnsiTheme="majorHAnsi" w:cstheme="majorHAnsi"/>
              </w:rPr>
              <w:t xml:space="preserve">ąca do obsługi systemu z rezerwą wolnej pamięci </w:t>
            </w:r>
            <w:proofErr w:type="spellStart"/>
            <w:r w:rsidR="003B1108">
              <w:rPr>
                <w:rFonts w:asciiTheme="majorHAnsi" w:hAnsiTheme="majorHAnsi" w:cstheme="majorHAnsi"/>
              </w:rPr>
              <w:t>VM</w:t>
            </w:r>
            <w:r w:rsidRPr="003B1108">
              <w:rPr>
                <w:rFonts w:asciiTheme="majorHAnsi" w:hAnsiTheme="majorHAnsi" w:cstheme="majorHAnsi"/>
              </w:rPr>
              <w:t>ware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na poziomie nie mniejszym niż 20%. Jednak nie mniej niż </w:t>
            </w:r>
            <w:r w:rsidR="00E6442C" w:rsidRPr="003B1108">
              <w:rPr>
                <w:rFonts w:asciiTheme="majorHAnsi" w:hAnsiTheme="majorHAnsi" w:cstheme="majorHAnsi"/>
              </w:rPr>
              <w:t>64</w:t>
            </w:r>
            <w:r w:rsidR="003B1108">
              <w:rPr>
                <w:rFonts w:asciiTheme="majorHAnsi" w:hAnsiTheme="majorHAnsi" w:cstheme="majorHAnsi"/>
              </w:rPr>
              <w:t xml:space="preserve"> </w:t>
            </w:r>
            <w:r w:rsidRPr="003B1108">
              <w:rPr>
                <w:rFonts w:asciiTheme="majorHAnsi" w:hAnsiTheme="majorHAnsi" w:cstheme="majorHAnsi"/>
              </w:rPr>
              <w:t>GB.</w:t>
            </w:r>
          </w:p>
        </w:tc>
      </w:tr>
      <w:tr w:rsidR="00332A49" w:rsidRPr="003B1108" w:rsidTr="003B1108">
        <w:trPr>
          <w:trHeight w:val="900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Możliwość rozbudowy ilości pamięci RAM do min. 256</w:t>
            </w:r>
            <w:r w:rsidR="003B1108">
              <w:rPr>
                <w:rFonts w:asciiTheme="majorHAnsi" w:hAnsiTheme="majorHAnsi" w:cstheme="majorHAnsi"/>
              </w:rPr>
              <w:t xml:space="preserve"> </w:t>
            </w:r>
            <w:r w:rsidRPr="003B1108">
              <w:rPr>
                <w:rFonts w:asciiTheme="majorHAnsi" w:hAnsiTheme="majorHAnsi" w:cstheme="majorHAnsi"/>
              </w:rPr>
              <w:t>GB. Przy założeniu, że rozbudowa jest realizowana przez dodanie dodatkowych modułów o pojemności identycznej z dostarczonymi, bez konieczności wymiany posiadanych już modułów lub dodania procesora</w:t>
            </w:r>
            <w:r w:rsidR="003B1108">
              <w:rPr>
                <w:rFonts w:asciiTheme="majorHAnsi" w:hAnsiTheme="majorHAnsi" w:cstheme="majorHAnsi"/>
              </w:rPr>
              <w:t>.</w:t>
            </w:r>
          </w:p>
        </w:tc>
      </w:tr>
      <w:tr w:rsidR="00332A49" w:rsidRPr="003B1108" w:rsidTr="003B1108">
        <w:trPr>
          <w:trHeight w:val="434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Pamięć RAM wyposażona w technologię detekcji i korekcji błędów (ECC)</w:t>
            </w:r>
            <w:r w:rsidR="003B1108">
              <w:rPr>
                <w:rFonts w:asciiTheme="majorHAnsi" w:hAnsiTheme="majorHAnsi" w:cstheme="majorHAnsi"/>
              </w:rPr>
              <w:t>.</w:t>
            </w:r>
          </w:p>
        </w:tc>
      </w:tr>
      <w:tr w:rsidR="00332A49" w:rsidRPr="003B1108" w:rsidTr="003B1108">
        <w:trPr>
          <w:trHeight w:val="823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 xml:space="preserve">Kontroler dyskowy musi umożliwiać tworzenie macierzy RAID 1, 0, 5, 6. Kontroler w pełni sprzętowy. Operacje obsługi, detekcji błędów, odbudowy powinny odbywać się bez pośrednictwa uruchomionego na serwerze systemu operacyjnego. </w:t>
            </w:r>
          </w:p>
        </w:tc>
      </w:tr>
      <w:tr w:rsidR="00332A49" w:rsidRPr="003B1108" w:rsidTr="00332A49">
        <w:trPr>
          <w:trHeight w:val="842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 xml:space="preserve">Dostarczone dyski umożliwiające uruchomienie dostarczanego systemu z rezerwą wolnej przestrzeni na </w:t>
            </w:r>
            <w:proofErr w:type="spellStart"/>
            <w:r w:rsidRPr="003B1108">
              <w:rPr>
                <w:rFonts w:asciiTheme="majorHAnsi" w:hAnsiTheme="majorHAnsi" w:cstheme="majorHAnsi"/>
              </w:rPr>
              <w:t>datastorze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B1108">
              <w:rPr>
                <w:rFonts w:asciiTheme="majorHAnsi" w:hAnsiTheme="majorHAnsi" w:cstheme="majorHAnsi"/>
              </w:rPr>
              <w:t>WM</w:t>
            </w:r>
            <w:r w:rsidRPr="003B1108">
              <w:rPr>
                <w:rFonts w:asciiTheme="majorHAnsi" w:hAnsiTheme="majorHAnsi" w:cstheme="majorHAnsi"/>
              </w:rPr>
              <w:t>ware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co najmniej 20%. </w:t>
            </w:r>
            <w:r w:rsidR="00CC4BEA" w:rsidRPr="003B1108">
              <w:rPr>
                <w:rFonts w:asciiTheme="majorHAnsi" w:hAnsiTheme="majorHAnsi" w:cstheme="majorHAnsi"/>
              </w:rPr>
              <w:t>Łączna p</w:t>
            </w:r>
            <w:r w:rsidRPr="003B1108">
              <w:rPr>
                <w:rFonts w:asciiTheme="majorHAnsi" w:hAnsiTheme="majorHAnsi" w:cstheme="majorHAnsi"/>
              </w:rPr>
              <w:t>ojemność dysków nie mniejsza niż 2</w:t>
            </w:r>
            <w:r w:rsidR="003B1108">
              <w:rPr>
                <w:rFonts w:asciiTheme="majorHAnsi" w:hAnsiTheme="majorHAnsi" w:cstheme="majorHAnsi"/>
              </w:rPr>
              <w:t xml:space="preserve"> </w:t>
            </w:r>
            <w:r w:rsidRPr="003B1108">
              <w:rPr>
                <w:rFonts w:asciiTheme="majorHAnsi" w:hAnsiTheme="majorHAnsi" w:cstheme="majorHAnsi"/>
              </w:rPr>
              <w:t>TB. System odporny na awarię dysku lub w przypadku stosowania dysków o pojemności nominalnej większej niż 2</w:t>
            </w:r>
            <w:r w:rsidR="003B1108">
              <w:rPr>
                <w:rFonts w:asciiTheme="majorHAnsi" w:hAnsiTheme="majorHAnsi" w:cstheme="majorHAnsi"/>
              </w:rPr>
              <w:t xml:space="preserve"> </w:t>
            </w:r>
            <w:r w:rsidRPr="003B1108">
              <w:rPr>
                <w:rFonts w:asciiTheme="majorHAnsi" w:hAnsiTheme="majorHAnsi" w:cstheme="majorHAnsi"/>
              </w:rPr>
              <w:t>TB odporny na awarię dwóch dysków.</w:t>
            </w:r>
          </w:p>
        </w:tc>
      </w:tr>
      <w:tr w:rsidR="00332A49" w:rsidRPr="003B1108" w:rsidTr="003B1108">
        <w:trPr>
          <w:trHeight w:val="71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Dwa redundantnie pracujące zasilacze 230</w:t>
            </w:r>
            <w:r w:rsidR="003B1108">
              <w:rPr>
                <w:rFonts w:asciiTheme="majorHAnsi" w:hAnsiTheme="majorHAnsi" w:cstheme="majorHAnsi"/>
              </w:rPr>
              <w:t xml:space="preserve"> </w:t>
            </w:r>
            <w:r w:rsidRPr="003B1108">
              <w:rPr>
                <w:rFonts w:asciiTheme="majorHAnsi" w:hAnsiTheme="majorHAnsi" w:cstheme="majorHAnsi"/>
              </w:rPr>
              <w:t>V o mocy wystarczającej do pracy serwera przy maksymalnym obciążeniu, również w przypadku awarii jednego zasilacza.</w:t>
            </w:r>
          </w:p>
        </w:tc>
      </w:tr>
      <w:tr w:rsidR="00332A49" w:rsidRPr="003B1108" w:rsidTr="003B1108">
        <w:trPr>
          <w:trHeight w:val="711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Redundantne wentylatory umożliwiające prace serwera przy maksymalnym obciążeniu, również w przypadku awarii jednego wentylatora.</w:t>
            </w:r>
          </w:p>
        </w:tc>
      </w:tr>
      <w:tr w:rsidR="00332A49" w:rsidRPr="003B1108" w:rsidTr="003B1108">
        <w:trPr>
          <w:trHeight w:val="552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Dostarczony komplet kabli zasilających umożliwiający podłączenie wszystkich zasilaczy do gniazd IEC320 C13</w:t>
            </w:r>
          </w:p>
        </w:tc>
      </w:tr>
      <w:tr w:rsidR="00332A49" w:rsidRPr="003B1108" w:rsidTr="003B1108">
        <w:trPr>
          <w:trHeight w:val="378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Co najmniej 4 interfejsy LAN w technologii 1000Base-T lub 10GBase-T</w:t>
            </w:r>
          </w:p>
        </w:tc>
      </w:tr>
      <w:tr w:rsidR="00332A49" w:rsidRPr="003B1108" w:rsidTr="003B1108">
        <w:trPr>
          <w:trHeight w:val="1051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 xml:space="preserve">Dostarczony komplet elementów umożliwiający podłączenie serwera do przełączników SAN (m.in. wkładki SFP+, kable przyłączeniowe). Serwery praz przełączniki SAN będą zamontowane w tej samej szafie </w:t>
            </w:r>
            <w:proofErr w:type="spellStart"/>
            <w:r w:rsidRPr="003B1108">
              <w:rPr>
                <w:rFonts w:asciiTheme="majorHAnsi" w:hAnsiTheme="majorHAnsi" w:cstheme="majorHAnsi"/>
              </w:rPr>
              <w:t>Rack</w:t>
            </w:r>
            <w:proofErr w:type="spellEnd"/>
            <w:r w:rsidRPr="003B1108">
              <w:rPr>
                <w:rFonts w:asciiTheme="majorHAnsi" w:hAnsiTheme="majorHAnsi" w:cstheme="majorHAnsi"/>
              </w:rPr>
              <w:t>. Kable przyłączeniowe powinny być kat. OM4 lub wyższej.</w:t>
            </w:r>
          </w:p>
        </w:tc>
      </w:tr>
      <w:tr w:rsidR="00332A49" w:rsidRPr="003B1108" w:rsidTr="00332A49">
        <w:trPr>
          <w:trHeight w:val="1239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Dostępne</w:t>
            </w:r>
            <w:r w:rsidR="003B1108">
              <w:rPr>
                <w:rFonts w:asciiTheme="majorHAnsi" w:hAnsiTheme="majorHAnsi" w:cstheme="majorHAnsi"/>
              </w:rPr>
              <w:t>:</w:t>
            </w:r>
            <w:r w:rsidRPr="003B1108">
              <w:rPr>
                <w:rFonts w:asciiTheme="majorHAnsi" w:hAnsiTheme="majorHAnsi" w:cstheme="majorHAnsi"/>
              </w:rPr>
              <w:t xml:space="preserve"> porty:</w:t>
            </w:r>
            <w:r w:rsidRPr="003B1108">
              <w:rPr>
                <w:rFonts w:asciiTheme="majorHAnsi" w:hAnsiTheme="majorHAnsi" w:cstheme="majorHAnsi"/>
              </w:rPr>
              <w:br/>
              <w:t>- USB min 4 szt. z możliwością podpięcia myszy i klawiatur</w:t>
            </w:r>
            <w:r w:rsidR="003B1108">
              <w:rPr>
                <w:rFonts w:asciiTheme="majorHAnsi" w:hAnsiTheme="majorHAnsi" w:cstheme="majorHAnsi"/>
              </w:rPr>
              <w:t xml:space="preserve">y przy czym co najmniej 2 porty </w:t>
            </w:r>
            <w:r w:rsidRPr="003B1108">
              <w:rPr>
                <w:rFonts w:asciiTheme="majorHAnsi" w:hAnsiTheme="majorHAnsi" w:cstheme="majorHAnsi"/>
              </w:rPr>
              <w:t>powinny być w wersji 3.0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VGA</w:t>
            </w:r>
            <w:r w:rsidR="003B1108">
              <w:rPr>
                <w:rFonts w:asciiTheme="majorHAnsi" w:hAnsiTheme="majorHAnsi" w:cstheme="majorHAnsi"/>
              </w:rPr>
              <w:t>.</w:t>
            </w:r>
          </w:p>
        </w:tc>
      </w:tr>
      <w:tr w:rsidR="00332A49" w:rsidRPr="003B1108" w:rsidTr="00332A49">
        <w:trPr>
          <w:trHeight w:val="1239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lastRenderedPageBreak/>
              <w:t>Serwer wyposażony w moduł zarządzania przez sieć IP. Spełniający następujące wymogi</w:t>
            </w:r>
            <w:r w:rsidR="003B1108">
              <w:rPr>
                <w:rFonts w:asciiTheme="majorHAnsi" w:hAnsiTheme="majorHAnsi" w:cstheme="majorHAnsi"/>
              </w:rPr>
              <w:t>:</w:t>
            </w:r>
            <w:r w:rsidRPr="003B1108">
              <w:rPr>
                <w:rFonts w:asciiTheme="majorHAnsi" w:hAnsiTheme="majorHAnsi" w:cstheme="majorHAnsi"/>
              </w:rPr>
              <w:br/>
              <w:t>- moduł całkowicie sprzętowy pracujący niezależnie od systemu operacyjnego uruchomionego na serwerze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praca na dedykowanym interfejsie LAN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możliwość zdalnego podglądu obrazu konsoli w trybie tekstowym oraz graficznym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zdalna obsługa klawiatury, myszy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obsługa wirtualnych nośników danych w szczególności napędu DVD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możliwość włączenia, wyłączenia i restartu serwera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monitorowanie zużycia energii elektrycznej w czasie rzeczywistym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monitoring poprawności działania zainstalowanych elementów sprzętowych w szczególności pamięci, dysków, temperatury, wentylatorów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logowanie zdarzeń i awarii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powiadomienie mailowe w przypadku awarii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zarządzanie poprzez graficzny interfejs użytkownika, linia poleceń (cli), interfejs IPMI 2.0</w:t>
            </w:r>
            <w:r w:rsidR="003B1108">
              <w:rPr>
                <w:rFonts w:asciiTheme="majorHAnsi" w:hAnsiTheme="majorHAnsi" w:cstheme="majorHAnsi"/>
              </w:rPr>
              <w:t>.</w:t>
            </w:r>
          </w:p>
        </w:tc>
      </w:tr>
      <w:tr w:rsidR="00332A49" w:rsidRPr="003B1108" w:rsidTr="003B1108">
        <w:trPr>
          <w:trHeight w:val="74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 xml:space="preserve">Serwer wymieniony na liście kompatybilnych urządzeń środowiska </w:t>
            </w:r>
            <w:proofErr w:type="spellStart"/>
            <w:r w:rsidRPr="003B1108">
              <w:rPr>
                <w:rFonts w:asciiTheme="majorHAnsi" w:hAnsiTheme="majorHAnsi" w:cstheme="majorHAnsi"/>
              </w:rPr>
              <w:t>Vmware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B1108">
              <w:rPr>
                <w:rFonts w:asciiTheme="majorHAnsi" w:hAnsiTheme="majorHAnsi" w:cstheme="majorHAnsi"/>
              </w:rPr>
              <w:t>VSphere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6.5 i 6.7  posiadanego przez Zamawiającego. </w:t>
            </w:r>
          </w:p>
        </w:tc>
      </w:tr>
      <w:tr w:rsidR="00332A49" w:rsidRPr="003B1108" w:rsidTr="003B1108">
        <w:trPr>
          <w:trHeight w:val="701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 xml:space="preserve">Wszystkie elementy serwera pochodzą od jednego producenta, z oficjalnego kanału sprzedaży producenta. </w:t>
            </w:r>
          </w:p>
        </w:tc>
      </w:tr>
      <w:tr w:rsidR="00332A49" w:rsidRPr="003B1108" w:rsidTr="003B1108">
        <w:trPr>
          <w:trHeight w:val="670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3B1108">
              <w:rPr>
                <w:rFonts w:asciiTheme="majorHAnsi" w:hAnsiTheme="majorHAnsi" w:cstheme="majorHAnsi"/>
                <w:color w:val="000000"/>
              </w:rPr>
              <w:t>Wymagane są dokumenty poświadczające, że sprzęt jest produkowany zgodnie z normami ISO 9001 oraz ISO 14001.</w:t>
            </w:r>
          </w:p>
        </w:tc>
      </w:tr>
      <w:tr w:rsidR="00332A49" w:rsidRPr="003B1108" w:rsidTr="00332A49">
        <w:trPr>
          <w:trHeight w:val="1239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Wsparcie producenta dla następujących systemów operacyjnych</w:t>
            </w:r>
            <w:r w:rsidR="003B1108">
              <w:rPr>
                <w:rFonts w:asciiTheme="majorHAnsi" w:hAnsiTheme="majorHAnsi" w:cstheme="majorHAnsi"/>
              </w:rPr>
              <w:t>:</w:t>
            </w:r>
            <w:r w:rsidRPr="003B1108">
              <w:rPr>
                <w:rFonts w:asciiTheme="majorHAnsi" w:hAnsiTheme="majorHAnsi" w:cstheme="majorHAnsi"/>
              </w:rPr>
              <w:br/>
              <w:t xml:space="preserve">- </w:t>
            </w:r>
            <w:proofErr w:type="spellStart"/>
            <w:r w:rsidRPr="003B1108">
              <w:rPr>
                <w:rFonts w:asciiTheme="majorHAnsi" w:hAnsiTheme="majorHAnsi" w:cstheme="majorHAnsi"/>
              </w:rPr>
              <w:t>VMWare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B1108">
              <w:rPr>
                <w:rFonts w:asciiTheme="majorHAnsi" w:hAnsiTheme="majorHAnsi" w:cstheme="majorHAnsi"/>
              </w:rPr>
              <w:t>ESXi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6.7, 6.5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Microsoft Windows 2019, 2016, 2012R2 Standard i Datacenter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 xml:space="preserve">- </w:t>
            </w:r>
            <w:proofErr w:type="spellStart"/>
            <w:r w:rsidRPr="003B1108">
              <w:rPr>
                <w:rFonts w:asciiTheme="majorHAnsi" w:hAnsiTheme="majorHAnsi" w:cstheme="majorHAnsi"/>
              </w:rPr>
              <w:t>Centos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6, 7 64bit</w:t>
            </w:r>
            <w:r w:rsidR="003B1108">
              <w:rPr>
                <w:rFonts w:asciiTheme="majorHAnsi" w:hAnsiTheme="majorHAnsi" w:cstheme="majorHAnsi"/>
              </w:rPr>
              <w:t>;</w:t>
            </w:r>
            <w:r w:rsidRPr="003B1108">
              <w:rPr>
                <w:rFonts w:asciiTheme="majorHAnsi" w:hAnsiTheme="majorHAnsi" w:cstheme="majorHAnsi"/>
              </w:rPr>
              <w:br/>
              <w:t>- Oracle Linux 6, 7</w:t>
            </w:r>
            <w:r w:rsidR="003B1108">
              <w:rPr>
                <w:rFonts w:asciiTheme="majorHAnsi" w:hAnsiTheme="majorHAnsi" w:cstheme="majorHAnsi"/>
              </w:rPr>
              <w:t>.</w:t>
            </w:r>
          </w:p>
        </w:tc>
      </w:tr>
      <w:tr w:rsidR="00332A49" w:rsidRPr="003B1108" w:rsidTr="003B1108">
        <w:trPr>
          <w:trHeight w:val="98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Wsparcie dla produktu w ciągu 36 miesięcy z czasem reakcji następnego dnia roboczego. Serwis może być świadczony przez producenta serwera bez pośrednictwa Wykonawcy. Serwis producenta powinien posiadać siedzibę na terenie Polski.</w:t>
            </w:r>
          </w:p>
        </w:tc>
      </w:tr>
      <w:tr w:rsidR="00332A49" w:rsidRPr="003B1108" w:rsidTr="003B1108">
        <w:trPr>
          <w:trHeight w:val="506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Uszkodzone dyski pozostają w siedzibie Zamawiającego</w:t>
            </w:r>
            <w:r w:rsidR="003B1108">
              <w:rPr>
                <w:rFonts w:asciiTheme="majorHAnsi" w:hAnsiTheme="majorHAnsi" w:cstheme="majorHAnsi"/>
              </w:rPr>
              <w:t>.</w:t>
            </w:r>
          </w:p>
        </w:tc>
      </w:tr>
      <w:tr w:rsidR="00611AA4" w:rsidRPr="003B1108" w:rsidTr="003B1108">
        <w:trPr>
          <w:trHeight w:val="711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11AA4" w:rsidRPr="003B1108" w:rsidRDefault="00611AA4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 xml:space="preserve">Dostarczony system musi być uruchomiony w środowisku </w:t>
            </w:r>
            <w:proofErr w:type="spellStart"/>
            <w:r w:rsidRPr="003B1108">
              <w:rPr>
                <w:rFonts w:asciiTheme="majorHAnsi" w:hAnsiTheme="majorHAnsi" w:cstheme="majorHAnsi"/>
              </w:rPr>
              <w:t>wirtualizacyjnym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B1108">
              <w:rPr>
                <w:rFonts w:asciiTheme="majorHAnsi" w:hAnsiTheme="majorHAnsi" w:cstheme="majorHAnsi"/>
              </w:rPr>
              <w:t>Vmware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używanym przez Zamawiającego.</w:t>
            </w:r>
          </w:p>
        </w:tc>
      </w:tr>
      <w:tr w:rsidR="00332A49" w:rsidRPr="003B1108" w:rsidTr="003B1108">
        <w:trPr>
          <w:trHeight w:val="666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 xml:space="preserve">Dostarczone licencje na </w:t>
            </w:r>
            <w:proofErr w:type="spellStart"/>
            <w:r w:rsidRPr="003B1108">
              <w:rPr>
                <w:rFonts w:asciiTheme="majorHAnsi" w:hAnsiTheme="majorHAnsi" w:cstheme="majorHAnsi"/>
              </w:rPr>
              <w:t>VMWare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B1108">
              <w:rPr>
                <w:rFonts w:asciiTheme="majorHAnsi" w:hAnsiTheme="majorHAnsi" w:cstheme="majorHAnsi"/>
              </w:rPr>
              <w:t>vSphere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6 Standard, </w:t>
            </w:r>
            <w:proofErr w:type="spellStart"/>
            <w:r w:rsidRPr="003B1108">
              <w:rPr>
                <w:rFonts w:asciiTheme="majorHAnsi" w:hAnsiTheme="majorHAnsi" w:cstheme="majorHAnsi"/>
              </w:rPr>
              <w:t>Veeam</w:t>
            </w:r>
            <w:proofErr w:type="spellEnd"/>
            <w:r w:rsidRPr="003B1108">
              <w:rPr>
                <w:rFonts w:asciiTheme="majorHAnsi" w:hAnsiTheme="majorHAnsi" w:cstheme="majorHAnsi"/>
              </w:rPr>
              <w:t xml:space="preserve"> Backup &amp; Replication 9.5 Enterprise umożliwiające pracę w środowisku posiadanym przez Zamawiającego</w:t>
            </w:r>
            <w:r w:rsidR="003B1108">
              <w:rPr>
                <w:rFonts w:asciiTheme="majorHAnsi" w:hAnsiTheme="majorHAnsi" w:cstheme="majorHAnsi"/>
              </w:rPr>
              <w:t>.</w:t>
            </w:r>
          </w:p>
        </w:tc>
      </w:tr>
      <w:tr w:rsidR="00332A49" w:rsidRPr="003B1108" w:rsidTr="003B1108">
        <w:trPr>
          <w:trHeight w:val="91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32A49" w:rsidRPr="003B1108" w:rsidRDefault="00332A49" w:rsidP="003B1108">
            <w:pPr>
              <w:jc w:val="both"/>
              <w:rPr>
                <w:rFonts w:asciiTheme="majorHAnsi" w:hAnsiTheme="majorHAnsi" w:cstheme="majorHAnsi"/>
              </w:rPr>
            </w:pPr>
            <w:r w:rsidRPr="003B1108">
              <w:rPr>
                <w:rFonts w:asciiTheme="majorHAnsi" w:hAnsiTheme="majorHAnsi" w:cstheme="majorHAnsi"/>
              </w:rPr>
              <w:t>Serwis realizujący wsparcie obejmuje wszystkie dostarczane komponenty sprzętowe (serwery, przełączniki, macierz) jako całość. Niedopuszczalne jest</w:t>
            </w:r>
            <w:r w:rsidR="003B1108">
              <w:rPr>
                <w:rFonts w:asciiTheme="majorHAnsi" w:hAnsiTheme="majorHAnsi" w:cstheme="majorHAnsi"/>
              </w:rPr>
              <w:t>,</w:t>
            </w:r>
            <w:r w:rsidRPr="003B1108">
              <w:rPr>
                <w:rFonts w:asciiTheme="majorHAnsi" w:hAnsiTheme="majorHAnsi" w:cstheme="majorHAnsi"/>
              </w:rPr>
              <w:t xml:space="preserve"> aby serwis na poszczególne komponenty sprzętowe realizowały różne podmioty.</w:t>
            </w:r>
          </w:p>
        </w:tc>
      </w:tr>
    </w:tbl>
    <w:p w:rsidR="00625330" w:rsidRPr="003B1108" w:rsidRDefault="00625330" w:rsidP="003B1108">
      <w:pPr>
        <w:jc w:val="both"/>
        <w:rPr>
          <w:rFonts w:asciiTheme="majorHAnsi" w:hAnsiTheme="majorHAnsi" w:cstheme="majorHAnsi"/>
        </w:rPr>
      </w:pPr>
    </w:p>
    <w:sectPr w:rsidR="00625330" w:rsidRPr="003B1108" w:rsidSect="003E6B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32" w:rsidRDefault="00FE1132" w:rsidP="00180C4E">
      <w:pPr>
        <w:spacing w:after="0" w:line="240" w:lineRule="auto"/>
      </w:pPr>
      <w:r>
        <w:separator/>
      </w:r>
    </w:p>
  </w:endnote>
  <w:endnote w:type="continuationSeparator" w:id="0">
    <w:p w:rsidR="00FE1132" w:rsidRDefault="00FE1132" w:rsidP="0018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32" w:rsidRDefault="00FE1132" w:rsidP="00180C4E">
      <w:pPr>
        <w:spacing w:after="0" w:line="240" w:lineRule="auto"/>
      </w:pPr>
      <w:r>
        <w:separator/>
      </w:r>
    </w:p>
  </w:footnote>
  <w:footnote w:type="continuationSeparator" w:id="0">
    <w:p w:rsidR="00FE1132" w:rsidRDefault="00FE1132" w:rsidP="0018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4E" w:rsidRDefault="00180C4E">
    <w:pPr>
      <w:pStyle w:val="Nagwek"/>
    </w:pPr>
    <w:r w:rsidRPr="00180C4E">
      <w:rPr>
        <w:rFonts w:ascii="Calibri" w:eastAsia="Calibri" w:hAnsi="Calibri" w:cs="Times New Roman"/>
      </w:rPr>
      <w:t>NSSU.DFP.271.60.2019.LS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E2"/>
    <w:rsid w:val="00180C4E"/>
    <w:rsid w:val="00332A49"/>
    <w:rsid w:val="003B1108"/>
    <w:rsid w:val="003E6B27"/>
    <w:rsid w:val="004A7F2C"/>
    <w:rsid w:val="004D4BCC"/>
    <w:rsid w:val="00595229"/>
    <w:rsid w:val="00611AA4"/>
    <w:rsid w:val="00625330"/>
    <w:rsid w:val="008A57D0"/>
    <w:rsid w:val="009841B5"/>
    <w:rsid w:val="009B7D49"/>
    <w:rsid w:val="00B12CE2"/>
    <w:rsid w:val="00C71E09"/>
    <w:rsid w:val="00CC4BEA"/>
    <w:rsid w:val="00E505FF"/>
    <w:rsid w:val="00E6442C"/>
    <w:rsid w:val="00ED3BE2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BE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3BE2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3E6B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180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C4E"/>
  </w:style>
  <w:style w:type="paragraph" w:styleId="Stopka">
    <w:name w:val="footer"/>
    <w:basedOn w:val="Normalny"/>
    <w:link w:val="StopkaZnak"/>
    <w:uiPriority w:val="99"/>
    <w:unhideWhenUsed/>
    <w:rsid w:val="00180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BE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3BE2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3E6B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180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C4E"/>
  </w:style>
  <w:style w:type="paragraph" w:styleId="Stopka">
    <w:name w:val="footer"/>
    <w:basedOn w:val="Normalny"/>
    <w:link w:val="StopkaZnak"/>
    <w:uiPriority w:val="99"/>
    <w:unhideWhenUsed/>
    <w:rsid w:val="00180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24EA-FFB5-48F7-BA72-18BA66C5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Malina</dc:creator>
  <cp:lastModifiedBy>Łukasz Sendo</cp:lastModifiedBy>
  <cp:revision>3</cp:revision>
  <cp:lastPrinted>2019-09-11T09:47:00Z</cp:lastPrinted>
  <dcterms:created xsi:type="dcterms:W3CDTF">2019-09-10T10:50:00Z</dcterms:created>
  <dcterms:modified xsi:type="dcterms:W3CDTF">2019-09-11T09:47:00Z</dcterms:modified>
</cp:coreProperties>
</file>