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8EDDC" w14:textId="27C9C33C" w:rsidR="00A667D7" w:rsidRPr="00912B66" w:rsidRDefault="00A667D7" w:rsidP="002831E0"/>
    <w:p w14:paraId="5D378DB7" w14:textId="607B121D" w:rsidR="00427D95" w:rsidRPr="00912B66" w:rsidRDefault="00427D95" w:rsidP="00427D95">
      <w:pPr>
        <w:jc w:val="right"/>
        <w:rPr>
          <w:rFonts w:ascii="Garamond" w:hAnsi="Garamond"/>
        </w:rPr>
      </w:pPr>
      <w:r w:rsidRPr="00912B66">
        <w:rPr>
          <w:rFonts w:ascii="Garamond" w:hAnsi="Garamond"/>
        </w:rPr>
        <w:t>Kraków, dnia</w:t>
      </w:r>
      <w:r w:rsidR="00230305" w:rsidRPr="00912B66">
        <w:rPr>
          <w:rFonts w:ascii="Garamond" w:hAnsi="Garamond"/>
        </w:rPr>
        <w:t xml:space="preserve"> </w:t>
      </w:r>
      <w:r w:rsidR="00174FCE">
        <w:rPr>
          <w:rFonts w:ascii="Garamond" w:hAnsi="Garamond"/>
        </w:rPr>
        <w:t>23.</w:t>
      </w:r>
      <w:r w:rsidR="006E4A2A">
        <w:rPr>
          <w:rFonts w:ascii="Garamond" w:hAnsi="Garamond"/>
        </w:rPr>
        <w:t>07</w:t>
      </w:r>
      <w:r w:rsidRPr="005752B5">
        <w:rPr>
          <w:rFonts w:ascii="Garamond" w:hAnsi="Garamond"/>
        </w:rPr>
        <w:t>.2020</w:t>
      </w:r>
      <w:r w:rsidRPr="00912B66">
        <w:rPr>
          <w:rFonts w:ascii="Garamond" w:hAnsi="Garamond"/>
        </w:rPr>
        <w:t xml:space="preserve"> r.</w:t>
      </w:r>
    </w:p>
    <w:p w14:paraId="374496DA" w14:textId="77777777" w:rsidR="00427D95" w:rsidRPr="00912B66" w:rsidRDefault="00427D95" w:rsidP="00427D95">
      <w:pPr>
        <w:rPr>
          <w:rFonts w:ascii="Garamond" w:hAnsi="Garamond"/>
        </w:rPr>
      </w:pPr>
    </w:p>
    <w:p w14:paraId="009D244F" w14:textId="764E0BF8" w:rsidR="00427D95" w:rsidRDefault="00D06673" w:rsidP="00427D95">
      <w:pPr>
        <w:rPr>
          <w:rFonts w:ascii="Garamond" w:hAnsi="Garamond"/>
        </w:rPr>
      </w:pPr>
      <w:r>
        <w:rPr>
          <w:rFonts w:ascii="Garamond" w:hAnsi="Garamond"/>
        </w:rPr>
        <w:t>DFP.271.120.2019</w:t>
      </w:r>
      <w:r w:rsidR="002C59D0">
        <w:rPr>
          <w:rFonts w:ascii="Garamond" w:hAnsi="Garamond"/>
        </w:rPr>
        <w:t>.DB</w:t>
      </w:r>
    </w:p>
    <w:p w14:paraId="784289BD" w14:textId="1CD65887" w:rsidR="00DA5517" w:rsidRPr="00912B66" w:rsidRDefault="00DA5517" w:rsidP="00427D95">
      <w:pPr>
        <w:rPr>
          <w:rFonts w:ascii="Garamond" w:hAnsi="Garamond"/>
        </w:rPr>
      </w:pPr>
    </w:p>
    <w:p w14:paraId="072F56B5" w14:textId="79496252" w:rsidR="00580B34" w:rsidRDefault="00427D95" w:rsidP="00580B34">
      <w:pPr>
        <w:keepNext/>
        <w:jc w:val="center"/>
        <w:outlineLvl w:val="1"/>
        <w:rPr>
          <w:rFonts w:ascii="Garamond" w:hAnsi="Garamond"/>
          <w:b/>
        </w:rPr>
      </w:pPr>
      <w:r w:rsidRPr="00912B66">
        <w:rPr>
          <w:rFonts w:ascii="Garamond" w:hAnsi="Garamond"/>
          <w:b/>
        </w:rPr>
        <w:t xml:space="preserve">ZAWIADOMIENIE </w:t>
      </w:r>
      <w:r w:rsidR="0042030A" w:rsidRPr="00912B66">
        <w:rPr>
          <w:rFonts w:ascii="Garamond" w:hAnsi="Garamond"/>
          <w:b/>
        </w:rPr>
        <w:t xml:space="preserve">O </w:t>
      </w:r>
    </w:p>
    <w:p w14:paraId="3E1E01F2" w14:textId="3FD41D6E" w:rsidR="00580B34" w:rsidRDefault="00580B34" w:rsidP="00580B34">
      <w:pPr>
        <w:keepNext/>
        <w:jc w:val="center"/>
        <w:outlineLvl w:val="1"/>
        <w:rPr>
          <w:rFonts w:ascii="Garamond" w:hAnsi="Garamond"/>
          <w:b/>
        </w:rPr>
      </w:pPr>
      <w:r>
        <w:rPr>
          <w:rFonts w:ascii="Garamond" w:hAnsi="Garamond"/>
          <w:b/>
        </w:rPr>
        <w:t>UNIEWAŻNIENIU POSTĘPOWANIA</w:t>
      </w:r>
      <w:r w:rsidR="006E4A2A">
        <w:rPr>
          <w:rFonts w:ascii="Garamond" w:hAnsi="Garamond"/>
          <w:b/>
        </w:rPr>
        <w:t xml:space="preserve"> </w:t>
      </w:r>
    </w:p>
    <w:p w14:paraId="4779CEEA" w14:textId="60D1F219" w:rsidR="006E4A2A" w:rsidRPr="006E4A2A" w:rsidRDefault="006E4A2A" w:rsidP="00580B34">
      <w:pPr>
        <w:keepNext/>
        <w:jc w:val="center"/>
        <w:outlineLvl w:val="1"/>
        <w:rPr>
          <w:rFonts w:ascii="Garamond" w:hAnsi="Garamond"/>
          <w:b/>
          <w:u w:val="single"/>
        </w:rPr>
      </w:pPr>
      <w:r w:rsidRPr="006E4A2A">
        <w:rPr>
          <w:rFonts w:ascii="Garamond" w:hAnsi="Garamond"/>
          <w:b/>
          <w:i/>
          <w:u w:val="single"/>
        </w:rPr>
        <w:t>dotyczy części</w:t>
      </w:r>
      <w:r w:rsidR="00D06673">
        <w:rPr>
          <w:rFonts w:ascii="Garamond" w:hAnsi="Garamond"/>
          <w:b/>
          <w:u w:val="single"/>
        </w:rPr>
        <w:t>: 1 i 2</w:t>
      </w:r>
    </w:p>
    <w:p w14:paraId="203D707D" w14:textId="77777777" w:rsidR="00580B34" w:rsidRDefault="00580B34" w:rsidP="00580B34">
      <w:pPr>
        <w:jc w:val="both"/>
        <w:rPr>
          <w:rFonts w:ascii="Garamond" w:hAnsi="Garamond"/>
        </w:rPr>
      </w:pPr>
    </w:p>
    <w:p w14:paraId="2FE6DAD5" w14:textId="21407CE9" w:rsidR="006E4A2A" w:rsidRDefault="006E4A2A" w:rsidP="006A6173">
      <w:pPr>
        <w:ind w:firstLine="708"/>
        <w:jc w:val="both"/>
        <w:rPr>
          <w:rFonts w:ascii="Garamond" w:hAnsi="Garamond"/>
          <w:bCs/>
          <w:i/>
        </w:rPr>
      </w:pPr>
      <w:r>
        <w:rPr>
          <w:rFonts w:ascii="Garamond" w:hAnsi="Garamond"/>
        </w:rPr>
        <w:t>Informuję, że postępowanie o udzielenie zamówienia publicznego na</w:t>
      </w:r>
      <w:r>
        <w:rPr>
          <w:rFonts w:ascii="Garamond" w:hAnsi="Garamond"/>
          <w:b/>
          <w:bCs/>
          <w:iCs/>
        </w:rPr>
        <w:t xml:space="preserve"> </w:t>
      </w:r>
      <w:r w:rsidRPr="00403D4C">
        <w:rPr>
          <w:rFonts w:ascii="Garamond" w:hAnsi="Garamond"/>
          <w:b/>
        </w:rPr>
        <w:t xml:space="preserve">dostawę </w:t>
      </w:r>
      <w:r w:rsidR="00D06673">
        <w:rPr>
          <w:rFonts w:ascii="Garamond" w:hAnsi="Garamond"/>
          <w:b/>
          <w:color w:val="000000"/>
        </w:rPr>
        <w:t>materiałów medycznych jednorazowego użytku (zestawy do zabiegów chirurgicznych)</w:t>
      </w:r>
      <w:r w:rsidR="00B30541">
        <w:rPr>
          <w:rFonts w:ascii="Garamond" w:hAnsi="Garamond"/>
          <w:b/>
          <w:color w:val="000000"/>
        </w:rPr>
        <w:t xml:space="preserve"> </w:t>
      </w:r>
      <w:r w:rsidR="00B30541" w:rsidRPr="00B30541">
        <w:rPr>
          <w:rFonts w:ascii="Garamond" w:hAnsi="Garamond"/>
          <w:color w:val="000000"/>
        </w:rPr>
        <w:t>w zakresie</w:t>
      </w:r>
      <w:r w:rsidR="00D06673">
        <w:rPr>
          <w:rFonts w:ascii="Garamond" w:hAnsi="Garamond"/>
          <w:b/>
          <w:color w:val="000000"/>
        </w:rPr>
        <w:t xml:space="preserve"> </w:t>
      </w:r>
      <w:r w:rsidR="00D06673">
        <w:rPr>
          <w:rFonts w:ascii="Garamond" w:hAnsi="Garamond"/>
          <w:b/>
          <w:color w:val="000000"/>
        </w:rPr>
        <w:br/>
        <w:t>części: 1 i 2</w:t>
      </w:r>
      <w:r>
        <w:rPr>
          <w:rFonts w:ascii="Garamond" w:hAnsi="Garamond"/>
          <w:b/>
          <w:bCs/>
          <w:iCs/>
        </w:rPr>
        <w:t xml:space="preserve"> </w:t>
      </w:r>
      <w:r>
        <w:rPr>
          <w:rFonts w:ascii="Garamond" w:hAnsi="Garamond"/>
        </w:rPr>
        <w:t>zostało unieważnione.</w:t>
      </w:r>
    </w:p>
    <w:p w14:paraId="4665F293" w14:textId="77777777" w:rsidR="006E4A2A" w:rsidRDefault="006E4A2A" w:rsidP="006A6173">
      <w:pPr>
        <w:pStyle w:val="Tekstpodstawowy3"/>
        <w:ind w:firstLine="708"/>
        <w:rPr>
          <w:rFonts w:ascii="Garamond" w:hAnsi="Garamond" w:cs="Tahoma"/>
          <w:i/>
        </w:rPr>
      </w:pPr>
    </w:p>
    <w:p w14:paraId="5017B908" w14:textId="77777777" w:rsidR="006E4A2A" w:rsidRDefault="006E4A2A" w:rsidP="00BB376F">
      <w:pPr>
        <w:ind w:right="110"/>
        <w:jc w:val="both"/>
        <w:rPr>
          <w:rFonts w:ascii="Garamond" w:hAnsi="Garamond" w:cs="Arial"/>
        </w:rPr>
      </w:pPr>
      <w:r>
        <w:rPr>
          <w:rFonts w:ascii="Garamond" w:eastAsia="Times New Roman" w:hAnsi="Garamond"/>
          <w:lang w:eastAsia="pl-PL"/>
        </w:rPr>
        <w:t>Uzasadnienie unieważnienia:</w:t>
      </w:r>
    </w:p>
    <w:p w14:paraId="39225A9F" w14:textId="33844FF3" w:rsidR="006E4A2A" w:rsidRDefault="006E4A2A" w:rsidP="00BB376F">
      <w:pPr>
        <w:ind w:right="110"/>
        <w:jc w:val="both"/>
        <w:rPr>
          <w:rFonts w:ascii="Garamond" w:hAnsi="Garamond" w:cs="Arial"/>
        </w:rPr>
      </w:pPr>
      <w:r w:rsidRPr="00D06673">
        <w:rPr>
          <w:rFonts w:ascii="Garamond" w:hAnsi="Garamond" w:cs="Arial"/>
          <w:b/>
        </w:rPr>
        <w:t>Uzasadnien</w:t>
      </w:r>
      <w:r w:rsidR="00D06673" w:rsidRPr="00D06673">
        <w:rPr>
          <w:rFonts w:ascii="Garamond" w:hAnsi="Garamond" w:cs="Arial"/>
          <w:b/>
        </w:rPr>
        <w:t>ie prawne</w:t>
      </w:r>
      <w:r w:rsidR="00D06673">
        <w:rPr>
          <w:rFonts w:ascii="Garamond" w:hAnsi="Garamond" w:cs="Arial"/>
        </w:rPr>
        <w:t xml:space="preserve">: art. 93 ust. 1 pkt. 7 w związku z art. 146 ust. 6 </w:t>
      </w:r>
      <w:r>
        <w:rPr>
          <w:rFonts w:ascii="Garamond" w:hAnsi="Garamond" w:cs="Arial"/>
        </w:rPr>
        <w:t>ustawy Prawo zamówień publicznych</w:t>
      </w:r>
    </w:p>
    <w:p w14:paraId="75FB631F" w14:textId="6B6102D0" w:rsidR="006E4A2A" w:rsidRDefault="006E4A2A" w:rsidP="00BB376F">
      <w:pPr>
        <w:jc w:val="both"/>
        <w:rPr>
          <w:rFonts w:ascii="Garamond" w:hAnsi="Garamond" w:cs="Arial"/>
        </w:rPr>
      </w:pPr>
      <w:r w:rsidRPr="00D06673">
        <w:rPr>
          <w:rFonts w:ascii="Garamond" w:hAnsi="Garamond" w:cs="Arial"/>
          <w:b/>
        </w:rPr>
        <w:t>Uzasadnienie faktyczne</w:t>
      </w:r>
      <w:r w:rsidR="00D06673">
        <w:rPr>
          <w:rFonts w:ascii="Garamond" w:hAnsi="Garamond" w:cs="Arial"/>
        </w:rPr>
        <w:t xml:space="preserve">: </w:t>
      </w:r>
      <w:r w:rsidR="00D06673" w:rsidRPr="00D06673">
        <w:rPr>
          <w:rFonts w:ascii="Garamond" w:hAnsi="Garamond" w:cs="Arial"/>
        </w:rPr>
        <w:t>postępowanie obarczone jest niemożliwą do usunięcia wadą uniemożliwiającą zawarcie niepodlegającej unieważnieniu umowy w sprawie zamówienia publicznego</w:t>
      </w:r>
      <w:r>
        <w:rPr>
          <w:rFonts w:ascii="Garamond" w:hAnsi="Garamond" w:cs="Arial"/>
        </w:rPr>
        <w:t>.</w:t>
      </w:r>
    </w:p>
    <w:p w14:paraId="0142847D" w14:textId="76B96532" w:rsidR="006A6173" w:rsidRDefault="006A6173" w:rsidP="00BB376F">
      <w:pPr>
        <w:jc w:val="both"/>
        <w:rPr>
          <w:rFonts w:ascii="Garamond" w:eastAsia="Times New Roman" w:hAnsi="Garamond"/>
          <w:lang w:eastAsia="pl-PL"/>
        </w:rPr>
      </w:pPr>
    </w:p>
    <w:p w14:paraId="04CDABB6" w14:textId="4FA4A6E7" w:rsidR="0042039E" w:rsidRPr="00CC72CD" w:rsidRDefault="0042039E" w:rsidP="00BB376F">
      <w:pPr>
        <w:ind w:firstLine="708"/>
        <w:jc w:val="both"/>
        <w:rPr>
          <w:rFonts w:ascii="Garamond" w:hAnsi="Garamond"/>
        </w:rPr>
      </w:pPr>
      <w:r w:rsidRPr="0042039E">
        <w:rPr>
          <w:rFonts w:ascii="Garamond" w:hAnsi="Garamond"/>
        </w:rPr>
        <w:t>Zasadność de</w:t>
      </w:r>
      <w:r>
        <w:rPr>
          <w:rFonts w:ascii="Garamond" w:hAnsi="Garamond"/>
        </w:rPr>
        <w:t>cyzji Zamawiającego potwierdza naruszenie przez Zamawiającego</w:t>
      </w:r>
      <w:r w:rsidR="0053184F">
        <w:rPr>
          <w:rFonts w:ascii="Garamond" w:hAnsi="Garamond"/>
        </w:rPr>
        <w:t xml:space="preserve"> w przedmiotowym postępowaniu</w:t>
      </w:r>
      <w:r>
        <w:rPr>
          <w:rFonts w:ascii="Garamond" w:hAnsi="Garamond"/>
        </w:rPr>
        <w:t xml:space="preserve"> niżej wymienionych </w:t>
      </w:r>
      <w:r w:rsidR="00332B72">
        <w:rPr>
          <w:rFonts w:ascii="Garamond" w:hAnsi="Garamond"/>
        </w:rPr>
        <w:t>przepisów us</w:t>
      </w:r>
      <w:r w:rsidR="00DB6B99">
        <w:rPr>
          <w:rFonts w:ascii="Garamond" w:hAnsi="Garamond"/>
        </w:rPr>
        <w:t xml:space="preserve">tawy Prawo Zamówień Publicznych. </w:t>
      </w:r>
      <w:r w:rsidR="00E452FC">
        <w:rPr>
          <w:rFonts w:ascii="Garamond" w:hAnsi="Garamond"/>
        </w:rPr>
        <w:t>Nieprawidłowośc</w:t>
      </w:r>
      <w:r w:rsidR="009B3FAF">
        <w:rPr>
          <w:rFonts w:ascii="Garamond" w:hAnsi="Garamond"/>
        </w:rPr>
        <w:t xml:space="preserve">i </w:t>
      </w:r>
      <w:r w:rsidR="00BE629E">
        <w:rPr>
          <w:rFonts w:ascii="Garamond" w:hAnsi="Garamond"/>
        </w:rPr>
        <w:br/>
      </w:r>
      <w:r w:rsidR="009B3FAF">
        <w:rPr>
          <w:rFonts w:ascii="Garamond" w:hAnsi="Garamond"/>
        </w:rPr>
        <w:t xml:space="preserve">w </w:t>
      </w:r>
      <w:r w:rsidR="003C39DE">
        <w:rPr>
          <w:rFonts w:ascii="Garamond" w:hAnsi="Garamond"/>
        </w:rPr>
        <w:t>zakresie wymienionych</w:t>
      </w:r>
      <w:r w:rsidR="00DB6B99">
        <w:rPr>
          <w:rFonts w:ascii="Garamond" w:hAnsi="Garamond"/>
        </w:rPr>
        <w:t xml:space="preserve"> przepisów </w:t>
      </w:r>
      <w:r w:rsidR="00E452FC">
        <w:rPr>
          <w:rFonts w:ascii="Garamond" w:hAnsi="Garamond"/>
        </w:rPr>
        <w:t>skutkują</w:t>
      </w:r>
      <w:r w:rsidR="00EC0ACA">
        <w:rPr>
          <w:rFonts w:ascii="Garamond" w:hAnsi="Garamond"/>
        </w:rPr>
        <w:t xml:space="preserve"> </w:t>
      </w:r>
      <w:r w:rsidR="00BB376F">
        <w:rPr>
          <w:rFonts w:ascii="Garamond" w:hAnsi="Garamond"/>
        </w:rPr>
        <w:t>brakiem możliwości przeprowadzenia przez</w:t>
      </w:r>
      <w:r w:rsidR="00DB6B99">
        <w:rPr>
          <w:rFonts w:ascii="Garamond" w:hAnsi="Garamond"/>
        </w:rPr>
        <w:t xml:space="preserve"> Zam</w:t>
      </w:r>
      <w:r w:rsidR="00BB376F">
        <w:rPr>
          <w:rFonts w:ascii="Garamond" w:hAnsi="Garamond"/>
        </w:rPr>
        <w:t>awiającego</w:t>
      </w:r>
      <w:r w:rsidR="00DB6B99">
        <w:rPr>
          <w:rFonts w:ascii="Garamond" w:hAnsi="Garamond"/>
        </w:rPr>
        <w:t xml:space="preserve"> </w:t>
      </w:r>
      <w:r w:rsidR="003C39DE">
        <w:rPr>
          <w:rFonts w:ascii="Garamond" w:hAnsi="Garamond"/>
        </w:rPr>
        <w:t>należytej</w:t>
      </w:r>
      <w:r w:rsidR="00DB6B99">
        <w:rPr>
          <w:rFonts w:ascii="Garamond" w:hAnsi="Garamond"/>
        </w:rPr>
        <w:t xml:space="preserve"> </w:t>
      </w:r>
      <w:r w:rsidR="00E452FC">
        <w:rPr>
          <w:rFonts w:ascii="Garamond" w:hAnsi="Garamond"/>
        </w:rPr>
        <w:t xml:space="preserve">i ważnej </w:t>
      </w:r>
      <w:r w:rsidR="00DB6B99">
        <w:rPr>
          <w:rFonts w:ascii="Garamond" w:hAnsi="Garamond"/>
        </w:rPr>
        <w:t xml:space="preserve">oceny </w:t>
      </w:r>
      <w:r w:rsidR="00044BE6">
        <w:rPr>
          <w:rFonts w:ascii="Garamond" w:hAnsi="Garamond"/>
        </w:rPr>
        <w:t xml:space="preserve">ofert oraz </w:t>
      </w:r>
      <w:r w:rsidR="006819E5">
        <w:rPr>
          <w:rFonts w:ascii="Garamond" w:hAnsi="Garamond"/>
        </w:rPr>
        <w:t xml:space="preserve">oceny </w:t>
      </w:r>
      <w:r w:rsidR="00DB6B99">
        <w:rPr>
          <w:rFonts w:ascii="Garamond" w:hAnsi="Garamond"/>
        </w:rPr>
        <w:t>próbek</w:t>
      </w:r>
      <w:r w:rsidR="005E345B">
        <w:rPr>
          <w:rFonts w:ascii="Garamond" w:hAnsi="Garamond"/>
        </w:rPr>
        <w:t xml:space="preserve"> </w:t>
      </w:r>
      <w:r w:rsidR="00E452FC">
        <w:rPr>
          <w:rFonts w:ascii="Garamond" w:hAnsi="Garamond"/>
        </w:rPr>
        <w:t>złożonych</w:t>
      </w:r>
      <w:r w:rsidR="009B3FAF">
        <w:rPr>
          <w:rFonts w:ascii="Garamond" w:hAnsi="Garamond"/>
        </w:rPr>
        <w:t xml:space="preserve"> </w:t>
      </w:r>
      <w:r w:rsidR="003C39DE">
        <w:rPr>
          <w:rFonts w:ascii="Garamond" w:hAnsi="Garamond"/>
        </w:rPr>
        <w:t xml:space="preserve">w </w:t>
      </w:r>
      <w:r w:rsidR="00E452FC">
        <w:rPr>
          <w:rFonts w:ascii="Garamond" w:hAnsi="Garamond"/>
        </w:rPr>
        <w:t xml:space="preserve">celu przyznania punktów </w:t>
      </w:r>
      <w:r w:rsidR="005522FC">
        <w:rPr>
          <w:rFonts w:ascii="Garamond" w:hAnsi="Garamond"/>
        </w:rPr>
        <w:t>w kryterium „Jakość”</w:t>
      </w:r>
      <w:r w:rsidR="00E452FC">
        <w:rPr>
          <w:rFonts w:ascii="Garamond" w:hAnsi="Garamond"/>
        </w:rPr>
        <w:t xml:space="preserve">. </w:t>
      </w:r>
      <w:r w:rsidR="009859C0">
        <w:rPr>
          <w:rFonts w:ascii="Garamond" w:hAnsi="Garamond"/>
        </w:rPr>
        <w:t>W konsekwencji,</w:t>
      </w:r>
      <w:r w:rsidR="006A4201">
        <w:rPr>
          <w:rFonts w:ascii="Garamond" w:hAnsi="Garamond"/>
        </w:rPr>
        <w:t xml:space="preserve"> b</w:t>
      </w:r>
      <w:r w:rsidR="00E452FC">
        <w:rPr>
          <w:rFonts w:ascii="Garamond" w:hAnsi="Garamond"/>
        </w:rPr>
        <w:t xml:space="preserve">raki </w:t>
      </w:r>
      <w:r w:rsidR="006A4201">
        <w:rPr>
          <w:rFonts w:ascii="Garamond" w:hAnsi="Garamond"/>
        </w:rPr>
        <w:t xml:space="preserve">te </w:t>
      </w:r>
      <w:r w:rsidR="003C39DE">
        <w:rPr>
          <w:rFonts w:ascii="Garamond" w:hAnsi="Garamond"/>
        </w:rPr>
        <w:t xml:space="preserve">mogą przyczynić się do </w:t>
      </w:r>
      <w:r w:rsidR="00E452FC">
        <w:rPr>
          <w:rFonts w:ascii="Garamond" w:hAnsi="Garamond"/>
        </w:rPr>
        <w:t xml:space="preserve"> </w:t>
      </w:r>
      <w:r w:rsidR="003C39DE">
        <w:rPr>
          <w:rFonts w:ascii="Garamond" w:hAnsi="Garamond"/>
        </w:rPr>
        <w:t>złamania</w:t>
      </w:r>
      <w:r w:rsidR="00DB6B99">
        <w:rPr>
          <w:rFonts w:ascii="Garamond" w:hAnsi="Garamond"/>
        </w:rPr>
        <w:t xml:space="preserve"> </w:t>
      </w:r>
      <w:r w:rsidR="00E452FC">
        <w:rPr>
          <w:rFonts w:ascii="Garamond" w:hAnsi="Garamond"/>
        </w:rPr>
        <w:t xml:space="preserve">naczelnej zasady obowiązującej </w:t>
      </w:r>
      <w:r w:rsidR="00BE629E">
        <w:rPr>
          <w:rFonts w:ascii="Garamond" w:hAnsi="Garamond"/>
        </w:rPr>
        <w:br/>
      </w:r>
      <w:r w:rsidR="00E452FC">
        <w:rPr>
          <w:rFonts w:ascii="Garamond" w:hAnsi="Garamond"/>
        </w:rPr>
        <w:t>w Prawie zamówień publicznych tj.</w:t>
      </w:r>
      <w:r w:rsidR="00DB6B99">
        <w:rPr>
          <w:rFonts w:ascii="Garamond" w:hAnsi="Garamond"/>
        </w:rPr>
        <w:t xml:space="preserve"> </w:t>
      </w:r>
      <w:r w:rsidR="00E452FC">
        <w:rPr>
          <w:rFonts w:ascii="Garamond" w:hAnsi="Garamond"/>
        </w:rPr>
        <w:t>zasady</w:t>
      </w:r>
      <w:r w:rsidR="00DB6B99">
        <w:rPr>
          <w:rFonts w:ascii="Garamond" w:hAnsi="Garamond"/>
        </w:rPr>
        <w:t xml:space="preserve"> równego traktowania </w:t>
      </w:r>
      <w:r w:rsidR="005E345B">
        <w:rPr>
          <w:rFonts w:ascii="Garamond" w:hAnsi="Garamond"/>
        </w:rPr>
        <w:t>wszystkich W</w:t>
      </w:r>
      <w:r w:rsidR="00DB6B99">
        <w:rPr>
          <w:rFonts w:ascii="Garamond" w:hAnsi="Garamond"/>
        </w:rPr>
        <w:t>ykonawców</w:t>
      </w:r>
      <w:r w:rsidR="00FA2B87">
        <w:rPr>
          <w:rFonts w:ascii="Garamond" w:hAnsi="Garamond"/>
        </w:rPr>
        <w:t xml:space="preserve"> ubiegających się o udzielenie zamówienia</w:t>
      </w:r>
      <w:r w:rsidR="00DB6B99">
        <w:rPr>
          <w:rFonts w:ascii="Garamond" w:hAnsi="Garamond"/>
        </w:rPr>
        <w:t xml:space="preserve"> oraz </w:t>
      </w:r>
      <w:r w:rsidR="00E452FC">
        <w:rPr>
          <w:rFonts w:ascii="Garamond" w:hAnsi="Garamond"/>
        </w:rPr>
        <w:t>zasady</w:t>
      </w:r>
      <w:r w:rsidR="005E345B">
        <w:rPr>
          <w:rFonts w:ascii="Garamond" w:hAnsi="Garamond"/>
        </w:rPr>
        <w:t xml:space="preserve"> </w:t>
      </w:r>
      <w:r w:rsidR="00DB6B99">
        <w:rPr>
          <w:rFonts w:ascii="Garamond" w:hAnsi="Garamond"/>
        </w:rPr>
        <w:t>zachowan</w:t>
      </w:r>
      <w:r w:rsidR="00DB6B99" w:rsidRPr="00EC0ACA">
        <w:rPr>
          <w:rFonts w:ascii="Garamond" w:hAnsi="Garamond"/>
        </w:rPr>
        <w:t>ia uczciwej konkurencji – art.</w:t>
      </w:r>
      <w:r w:rsidR="00BB376F">
        <w:rPr>
          <w:rFonts w:ascii="Garamond" w:hAnsi="Garamond"/>
        </w:rPr>
        <w:t xml:space="preserve"> 7 U</w:t>
      </w:r>
      <w:r w:rsidR="009859C0">
        <w:rPr>
          <w:rFonts w:ascii="Garamond" w:hAnsi="Garamond"/>
        </w:rPr>
        <w:t xml:space="preserve">stawy </w:t>
      </w:r>
      <w:proofErr w:type="spellStart"/>
      <w:r w:rsidR="009859C0">
        <w:rPr>
          <w:rFonts w:ascii="Garamond" w:hAnsi="Garamond"/>
        </w:rPr>
        <w:t>Pzp</w:t>
      </w:r>
      <w:proofErr w:type="spellEnd"/>
      <w:r w:rsidR="009859C0">
        <w:rPr>
          <w:rFonts w:ascii="Garamond" w:hAnsi="Garamond"/>
        </w:rPr>
        <w:t xml:space="preserve">. </w:t>
      </w:r>
      <w:r w:rsidR="001F224D" w:rsidRPr="00CC72CD">
        <w:rPr>
          <w:rFonts w:ascii="Garamond" w:hAnsi="Garamond"/>
        </w:rPr>
        <w:t>Rezultat nieprawidłowego sposobu działania przez Zamawiającego</w:t>
      </w:r>
      <w:r w:rsidR="009859C0" w:rsidRPr="00CC72CD">
        <w:rPr>
          <w:rFonts w:ascii="Garamond" w:hAnsi="Garamond"/>
        </w:rPr>
        <w:t xml:space="preserve"> </w:t>
      </w:r>
      <w:r w:rsidR="001F224D" w:rsidRPr="00CC72CD">
        <w:rPr>
          <w:rFonts w:ascii="Garamond" w:hAnsi="Garamond"/>
        </w:rPr>
        <w:t xml:space="preserve">mógłby </w:t>
      </w:r>
      <w:r w:rsidR="002F6D1F">
        <w:rPr>
          <w:rFonts w:ascii="Garamond" w:hAnsi="Garamond"/>
        </w:rPr>
        <w:t>stanowić</w:t>
      </w:r>
      <w:r w:rsidR="00CC72CD" w:rsidRPr="00CC72CD">
        <w:rPr>
          <w:rFonts w:ascii="Garamond" w:hAnsi="Garamond"/>
        </w:rPr>
        <w:t xml:space="preserve"> także </w:t>
      </w:r>
      <w:r w:rsidR="002F6D1F">
        <w:rPr>
          <w:rFonts w:ascii="Garamond" w:hAnsi="Garamond"/>
        </w:rPr>
        <w:t xml:space="preserve">istotny </w:t>
      </w:r>
      <w:r w:rsidR="00EC0ACA" w:rsidRPr="00CC72CD">
        <w:rPr>
          <w:rFonts w:ascii="Garamond" w:hAnsi="Garamond"/>
        </w:rPr>
        <w:t>czynnik</w:t>
      </w:r>
      <w:r w:rsidR="00044BE6" w:rsidRPr="00CC72CD">
        <w:rPr>
          <w:rFonts w:ascii="Garamond" w:hAnsi="Garamond"/>
        </w:rPr>
        <w:t>,</w:t>
      </w:r>
      <w:r w:rsidR="00EC0ACA" w:rsidRPr="00CC72CD">
        <w:rPr>
          <w:rFonts w:ascii="Garamond" w:hAnsi="Garamond"/>
        </w:rPr>
        <w:t xml:space="preserve"> który będzie miał wpływ na </w:t>
      </w:r>
      <w:r w:rsidR="00074532">
        <w:rPr>
          <w:rFonts w:ascii="Garamond" w:hAnsi="Garamond"/>
        </w:rPr>
        <w:t>wynik postę</w:t>
      </w:r>
      <w:r w:rsidR="00FA2B87" w:rsidRPr="00CC72CD">
        <w:rPr>
          <w:rFonts w:ascii="Garamond" w:hAnsi="Garamond"/>
        </w:rPr>
        <w:t>powania</w:t>
      </w:r>
      <w:r w:rsidR="00EC0ACA" w:rsidRPr="00CC72CD">
        <w:rPr>
          <w:rFonts w:ascii="Garamond" w:hAnsi="Garamond"/>
        </w:rPr>
        <w:t xml:space="preserve">, co nie jest zamiarem Zamawiającego. </w:t>
      </w:r>
      <w:r w:rsidR="00DB6B99" w:rsidRPr="00CC72CD">
        <w:rPr>
          <w:rFonts w:ascii="Garamond" w:hAnsi="Garamond"/>
        </w:rPr>
        <w:t xml:space="preserve"> </w:t>
      </w:r>
    </w:p>
    <w:p w14:paraId="526BDF86" w14:textId="4E046005" w:rsidR="00811FCD" w:rsidRPr="00811FCD" w:rsidRDefault="00811FCD" w:rsidP="00BB376F">
      <w:pPr>
        <w:pStyle w:val="Akapitzlist"/>
        <w:numPr>
          <w:ilvl w:val="3"/>
          <w:numId w:val="2"/>
        </w:numPr>
        <w:ind w:left="426" w:hanging="284"/>
        <w:jc w:val="both"/>
        <w:rPr>
          <w:rFonts w:ascii="Garamond" w:hAnsi="Garamond"/>
        </w:rPr>
      </w:pPr>
      <w:r>
        <w:rPr>
          <w:rFonts w:ascii="Garamond" w:hAnsi="Garamond"/>
        </w:rPr>
        <w:t xml:space="preserve">W orzecznictwie Krajowej Izby Odwoławczej ukształtował się pogląd, że podstawą zastosowania art. 93 ust. 1 pkt. 7 </w:t>
      </w:r>
      <w:proofErr w:type="spellStart"/>
      <w:r>
        <w:rPr>
          <w:rFonts w:ascii="Garamond" w:hAnsi="Garamond"/>
        </w:rPr>
        <w:t>Pzp</w:t>
      </w:r>
      <w:proofErr w:type="spellEnd"/>
      <w:r>
        <w:rPr>
          <w:rFonts w:ascii="Garamond" w:hAnsi="Garamond"/>
        </w:rPr>
        <w:t xml:space="preserve"> stanowi nie tylko art. 146 ust. 1 </w:t>
      </w:r>
      <w:proofErr w:type="spellStart"/>
      <w:r>
        <w:rPr>
          <w:rFonts w:ascii="Garamond" w:hAnsi="Garamond"/>
        </w:rPr>
        <w:t>Pzp</w:t>
      </w:r>
      <w:proofErr w:type="spellEnd"/>
      <w:r>
        <w:rPr>
          <w:rFonts w:ascii="Garamond" w:hAnsi="Garamond"/>
        </w:rPr>
        <w:t xml:space="preserve"> (kwalifikowane wady post</w:t>
      </w:r>
      <w:r w:rsidR="00074532">
        <w:rPr>
          <w:rFonts w:ascii="Garamond" w:hAnsi="Garamond"/>
        </w:rPr>
        <w:t>ę</w:t>
      </w:r>
      <w:r>
        <w:rPr>
          <w:rFonts w:ascii="Garamond" w:hAnsi="Garamond"/>
        </w:rPr>
        <w:t xml:space="preserve">powania), ale przy ocenie podstaw do unieważnienia postepowania należy mieć również na uwadze treść art. 146 ust. 6 </w:t>
      </w:r>
      <w:proofErr w:type="spellStart"/>
      <w:r>
        <w:rPr>
          <w:rFonts w:ascii="Garamond" w:hAnsi="Garamond"/>
        </w:rPr>
        <w:t>Pzp</w:t>
      </w:r>
      <w:proofErr w:type="spellEnd"/>
      <w:r>
        <w:rPr>
          <w:rFonts w:ascii="Garamond" w:hAnsi="Garamond"/>
        </w:rPr>
        <w:t xml:space="preserve">. </w:t>
      </w:r>
      <w:r w:rsidR="0053184F">
        <w:rPr>
          <w:rFonts w:ascii="Garamond" w:hAnsi="Garamond"/>
        </w:rPr>
        <w:t xml:space="preserve">W myśl tego przepisu Prezes Urzędu Zamówień Publicznych może wystąpić do sądu </w:t>
      </w:r>
      <w:r w:rsidR="00D64906">
        <w:rPr>
          <w:rFonts w:ascii="Garamond" w:hAnsi="Garamond"/>
        </w:rPr>
        <w:br/>
      </w:r>
      <w:r w:rsidR="0053184F">
        <w:rPr>
          <w:rFonts w:ascii="Garamond" w:hAnsi="Garamond"/>
        </w:rPr>
        <w:t>o unieważnienie umowy w przypadku dokonania</w:t>
      </w:r>
      <w:r w:rsidR="00DB7D55">
        <w:rPr>
          <w:rFonts w:ascii="Garamond" w:hAnsi="Garamond"/>
        </w:rPr>
        <w:t xml:space="preserve"> przez Zamawiającego czynności </w:t>
      </w:r>
      <w:r w:rsidR="0053184F">
        <w:rPr>
          <w:rFonts w:ascii="Garamond" w:hAnsi="Garamond"/>
        </w:rPr>
        <w:t>lub zaniechania dokonania czynności  z naruszeniem przepisów Ustawy, które miało lub mogło mieć</w:t>
      </w:r>
      <w:r w:rsidR="00DB7D55">
        <w:rPr>
          <w:rFonts w:ascii="Garamond" w:hAnsi="Garamond"/>
        </w:rPr>
        <w:t xml:space="preserve"> wpływ na wynik postępowania </w:t>
      </w:r>
    </w:p>
    <w:p w14:paraId="28329A5A" w14:textId="259527E9" w:rsidR="0053184F" w:rsidRDefault="0053184F" w:rsidP="00BB376F">
      <w:pPr>
        <w:pStyle w:val="Akapitzlist"/>
        <w:numPr>
          <w:ilvl w:val="0"/>
          <w:numId w:val="2"/>
        </w:numPr>
        <w:ind w:left="426" w:hanging="284"/>
        <w:jc w:val="both"/>
        <w:rPr>
          <w:rFonts w:ascii="Garamond" w:eastAsia="Times New Roman" w:hAnsi="Garamond"/>
          <w:u w:val="single"/>
          <w:lang w:eastAsia="pl-PL"/>
        </w:rPr>
      </w:pPr>
      <w:r w:rsidRPr="00FA2B87">
        <w:rPr>
          <w:rFonts w:ascii="Garamond" w:eastAsia="Times New Roman" w:hAnsi="Garamond"/>
          <w:u w:val="single"/>
          <w:lang w:eastAsia="pl-PL"/>
        </w:rPr>
        <w:t xml:space="preserve">Zamawiający nie określił </w:t>
      </w:r>
      <w:r w:rsidR="00627AFD" w:rsidRPr="00FA2B87">
        <w:rPr>
          <w:rFonts w:ascii="Garamond" w:eastAsia="Times New Roman" w:hAnsi="Garamond"/>
          <w:u w:val="single"/>
          <w:lang w:eastAsia="pl-PL"/>
        </w:rPr>
        <w:t>precyzyjne</w:t>
      </w:r>
      <w:r w:rsidRPr="00FA2B87">
        <w:rPr>
          <w:rFonts w:ascii="Garamond" w:eastAsia="Times New Roman" w:hAnsi="Garamond"/>
          <w:u w:val="single"/>
          <w:lang w:eastAsia="pl-PL"/>
        </w:rPr>
        <w:t xml:space="preserve"> i </w:t>
      </w:r>
      <w:r w:rsidR="00627AFD" w:rsidRPr="00FA2B87">
        <w:rPr>
          <w:rFonts w:ascii="Garamond" w:eastAsia="Times New Roman" w:hAnsi="Garamond"/>
          <w:u w:val="single"/>
          <w:lang w:eastAsia="pl-PL"/>
        </w:rPr>
        <w:t>wyczerpująco</w:t>
      </w:r>
      <w:r w:rsidRPr="00FA2B87">
        <w:rPr>
          <w:rFonts w:ascii="Garamond" w:eastAsia="Times New Roman" w:hAnsi="Garamond"/>
          <w:u w:val="single"/>
          <w:lang w:eastAsia="pl-PL"/>
        </w:rPr>
        <w:t xml:space="preserve"> </w:t>
      </w:r>
      <w:r w:rsidR="005E345B" w:rsidRPr="00FA2B87">
        <w:rPr>
          <w:rFonts w:ascii="Garamond" w:eastAsia="Times New Roman" w:hAnsi="Garamond"/>
          <w:u w:val="single"/>
          <w:lang w:eastAsia="pl-PL"/>
        </w:rPr>
        <w:t>wymogów</w:t>
      </w:r>
      <w:r w:rsidRPr="00FA2B87">
        <w:rPr>
          <w:rFonts w:ascii="Garamond" w:eastAsia="Times New Roman" w:hAnsi="Garamond"/>
          <w:u w:val="single"/>
          <w:lang w:eastAsia="pl-PL"/>
        </w:rPr>
        <w:t xml:space="preserve"> </w:t>
      </w:r>
      <w:r w:rsidR="00975819" w:rsidRPr="00FA2B87">
        <w:rPr>
          <w:rFonts w:ascii="Garamond" w:eastAsia="Times New Roman" w:hAnsi="Garamond"/>
          <w:u w:val="single"/>
          <w:lang w:eastAsia="pl-PL"/>
        </w:rPr>
        <w:t xml:space="preserve">postanowień </w:t>
      </w:r>
      <w:r w:rsidRPr="00FA2B87">
        <w:rPr>
          <w:rFonts w:ascii="Garamond" w:eastAsia="Times New Roman" w:hAnsi="Garamond"/>
          <w:u w:val="single"/>
          <w:lang w:eastAsia="pl-PL"/>
        </w:rPr>
        <w:t>specyfikacji istotnych warunków zamówienia</w:t>
      </w:r>
      <w:r w:rsidR="00DB6B99" w:rsidRPr="00FA2B87">
        <w:rPr>
          <w:rFonts w:ascii="Garamond" w:eastAsia="Times New Roman" w:hAnsi="Garamond"/>
          <w:u w:val="single"/>
          <w:lang w:eastAsia="pl-PL"/>
        </w:rPr>
        <w:t xml:space="preserve"> </w:t>
      </w:r>
      <w:r w:rsidR="00975819" w:rsidRPr="00FA2B87">
        <w:rPr>
          <w:rFonts w:ascii="Garamond" w:eastAsia="Times New Roman" w:hAnsi="Garamond"/>
          <w:u w:val="single"/>
          <w:lang w:eastAsia="pl-PL"/>
        </w:rPr>
        <w:t>dotyczących</w:t>
      </w:r>
      <w:r w:rsidR="00DB6B99" w:rsidRPr="00FA2B87">
        <w:rPr>
          <w:rFonts w:ascii="Garamond" w:eastAsia="Times New Roman" w:hAnsi="Garamond"/>
          <w:u w:val="single"/>
          <w:lang w:eastAsia="pl-PL"/>
        </w:rPr>
        <w:t xml:space="preserve"> złożenia próbek przez Wykonawców oraz nie określił </w:t>
      </w:r>
      <w:r w:rsidR="00627AFD" w:rsidRPr="00FA2B87">
        <w:rPr>
          <w:rFonts w:ascii="Garamond" w:eastAsia="Times New Roman" w:hAnsi="Garamond"/>
          <w:u w:val="single"/>
          <w:lang w:eastAsia="pl-PL"/>
        </w:rPr>
        <w:t>charakteru</w:t>
      </w:r>
      <w:r w:rsidR="00DB6B99" w:rsidRPr="00FA2B87">
        <w:rPr>
          <w:rFonts w:ascii="Garamond" w:eastAsia="Times New Roman" w:hAnsi="Garamond"/>
          <w:u w:val="single"/>
          <w:lang w:eastAsia="pl-PL"/>
        </w:rPr>
        <w:t xml:space="preserve"> </w:t>
      </w:r>
      <w:r w:rsidR="00627AFD" w:rsidRPr="00FA2B87">
        <w:rPr>
          <w:rFonts w:ascii="Garamond" w:eastAsia="Times New Roman" w:hAnsi="Garamond"/>
          <w:u w:val="single"/>
          <w:lang w:eastAsia="pl-PL"/>
        </w:rPr>
        <w:t xml:space="preserve">próbki </w:t>
      </w:r>
      <w:r w:rsidR="0099233B" w:rsidRPr="00FA2B87">
        <w:rPr>
          <w:rFonts w:ascii="Garamond" w:eastAsia="Times New Roman" w:hAnsi="Garamond"/>
          <w:u w:val="single"/>
          <w:lang w:eastAsia="pl-PL"/>
        </w:rPr>
        <w:t>konstruując</w:t>
      </w:r>
      <w:r w:rsidR="00627AFD" w:rsidRPr="00FA2B87">
        <w:rPr>
          <w:rFonts w:ascii="Garamond" w:eastAsia="Times New Roman" w:hAnsi="Garamond"/>
          <w:u w:val="single"/>
          <w:lang w:eastAsia="pl-PL"/>
        </w:rPr>
        <w:t xml:space="preserve"> wymóg załączenia </w:t>
      </w:r>
      <w:r w:rsidR="00FA2B87" w:rsidRPr="00FA2B87">
        <w:rPr>
          <w:rFonts w:ascii="Garamond" w:eastAsia="Times New Roman" w:hAnsi="Garamond"/>
          <w:u w:val="single"/>
          <w:lang w:eastAsia="pl-PL"/>
        </w:rPr>
        <w:t xml:space="preserve">tejże </w:t>
      </w:r>
      <w:r w:rsidR="00627AFD" w:rsidRPr="00FA2B87">
        <w:rPr>
          <w:rFonts w:ascii="Garamond" w:eastAsia="Times New Roman" w:hAnsi="Garamond"/>
          <w:u w:val="single"/>
          <w:lang w:eastAsia="pl-PL"/>
        </w:rPr>
        <w:t>próbki do oferty</w:t>
      </w:r>
      <w:r w:rsidR="00FA2B87" w:rsidRPr="00FA2B87">
        <w:rPr>
          <w:rFonts w:ascii="Garamond" w:eastAsia="Times New Roman" w:hAnsi="Garamond"/>
          <w:u w:val="single"/>
          <w:lang w:eastAsia="pl-PL"/>
        </w:rPr>
        <w:t>.</w:t>
      </w:r>
      <w:r w:rsidRPr="00FA2B87">
        <w:rPr>
          <w:rFonts w:ascii="Garamond" w:eastAsia="Times New Roman" w:hAnsi="Garamond"/>
          <w:u w:val="single"/>
          <w:lang w:eastAsia="pl-PL"/>
        </w:rPr>
        <w:t xml:space="preserve"> </w:t>
      </w:r>
    </w:p>
    <w:p w14:paraId="6628D0E9" w14:textId="7BF21B59" w:rsidR="00FA2B87" w:rsidRDefault="00FA2B87" w:rsidP="00BB376F">
      <w:pPr>
        <w:ind w:left="426"/>
        <w:jc w:val="both"/>
        <w:rPr>
          <w:rFonts w:ascii="Garamond" w:eastAsia="Times New Roman" w:hAnsi="Garamond"/>
          <w:i/>
          <w:lang w:eastAsia="pl-PL"/>
        </w:rPr>
      </w:pPr>
      <w:r w:rsidRPr="00FA2B87">
        <w:rPr>
          <w:rFonts w:ascii="Garamond" w:eastAsia="Times New Roman" w:hAnsi="Garamond"/>
          <w:lang w:eastAsia="pl-PL"/>
        </w:rPr>
        <w:t xml:space="preserve">Zamawiający w </w:t>
      </w:r>
      <w:r>
        <w:rPr>
          <w:rFonts w:ascii="Garamond" w:eastAsia="Times New Roman" w:hAnsi="Garamond"/>
          <w:lang w:eastAsia="pl-PL"/>
        </w:rPr>
        <w:t xml:space="preserve">pkt. 10.2.3) SIWZ </w:t>
      </w:r>
      <w:r w:rsidR="00F62600">
        <w:rPr>
          <w:rFonts w:ascii="Garamond" w:eastAsia="Times New Roman" w:hAnsi="Garamond"/>
          <w:lang w:eastAsia="pl-PL"/>
        </w:rPr>
        <w:t>zawarł</w:t>
      </w:r>
      <w:r>
        <w:rPr>
          <w:rFonts w:ascii="Garamond" w:eastAsia="Times New Roman" w:hAnsi="Garamond"/>
          <w:lang w:eastAsia="pl-PL"/>
        </w:rPr>
        <w:t xml:space="preserve"> zapis: „</w:t>
      </w:r>
      <w:r w:rsidRPr="00FA2B87">
        <w:rPr>
          <w:rFonts w:ascii="Garamond" w:eastAsia="Times New Roman" w:hAnsi="Garamond"/>
          <w:i/>
          <w:lang w:eastAsia="pl-PL"/>
        </w:rPr>
        <w:t xml:space="preserve">(….) </w:t>
      </w:r>
      <w:r>
        <w:rPr>
          <w:rFonts w:ascii="Garamond" w:eastAsia="Times New Roman" w:hAnsi="Garamond"/>
          <w:lang w:eastAsia="pl-PL"/>
        </w:rPr>
        <w:t xml:space="preserve"> </w:t>
      </w:r>
      <w:r w:rsidR="00F62600" w:rsidRPr="00F62600">
        <w:rPr>
          <w:rFonts w:ascii="Garamond" w:hAnsi="Garamond"/>
          <w:bCs/>
          <w:i/>
          <w:color w:val="000000"/>
          <w:lang w:eastAsia="ar-SA"/>
        </w:rPr>
        <w:t xml:space="preserve">Próbki maja być złożone w oryginalnych opakowaniach, z etykietami spełniającymi wymogi ustawy o wyrobach medycznych. </w:t>
      </w:r>
      <w:r w:rsidR="00F62600" w:rsidRPr="00F62600">
        <w:rPr>
          <w:rFonts w:ascii="Garamond" w:hAnsi="Garamond"/>
          <w:bCs/>
          <w:i/>
          <w:lang w:eastAsia="ar-SA"/>
        </w:rPr>
        <w:t>Wskazane jest aby każda złożona próbka została oznaczona nazwą Wykonawcy oraz numerem części i pozycji zamówienia, której dotyczy. W przypadku próbek sterylnych oznaczenie musi być zrobione tak, aby próbka zachowała walor sterylności. Zamawiający nie dokona zwrotu zbadanych próbek wyrobów jednorazowego użytku. Wskazane próbki zostaną wykorzystane przez Zamawiającego przy ocenie zgodności oferowanych wyrobów ze specyfikacją w ramach kryterium „Jakość”</w:t>
      </w:r>
      <w:r w:rsidRPr="00F62600">
        <w:rPr>
          <w:rFonts w:ascii="Garamond" w:eastAsia="Times New Roman" w:hAnsi="Garamond"/>
          <w:i/>
          <w:lang w:eastAsia="pl-PL"/>
        </w:rPr>
        <w:t>(….)”</w:t>
      </w:r>
      <w:r w:rsidR="00F62600">
        <w:rPr>
          <w:rFonts w:ascii="Garamond" w:eastAsia="Times New Roman" w:hAnsi="Garamond"/>
          <w:i/>
          <w:lang w:eastAsia="pl-PL"/>
        </w:rPr>
        <w:t xml:space="preserve"> </w:t>
      </w:r>
      <w:r w:rsidR="00F62600" w:rsidRPr="006C3F99">
        <w:rPr>
          <w:rFonts w:ascii="Garamond" w:eastAsia="Times New Roman" w:hAnsi="Garamond"/>
          <w:lang w:eastAsia="pl-PL"/>
        </w:rPr>
        <w:t>oraz</w:t>
      </w:r>
      <w:r w:rsidR="00F62600">
        <w:rPr>
          <w:rFonts w:ascii="Garamond" w:eastAsia="Times New Roman" w:hAnsi="Garamond"/>
          <w:i/>
          <w:lang w:eastAsia="pl-PL"/>
        </w:rPr>
        <w:t xml:space="preserve"> „</w:t>
      </w:r>
      <w:r w:rsidR="00F62600" w:rsidRPr="00F62600">
        <w:rPr>
          <w:rFonts w:ascii="Garamond" w:hAnsi="Garamond"/>
          <w:bCs/>
          <w:i/>
        </w:rPr>
        <w:t>Dokumenty i próbki określone w punkcie 10.2.1-10.2.3 specyfikacji stanowią ofertę, w związku z tym nie będą podlegały procedurze uzupełnienia, określonej w art. 26 ust. 3 ustawy</w:t>
      </w:r>
      <w:r w:rsidR="00F62600">
        <w:rPr>
          <w:rFonts w:ascii="Garamond" w:eastAsia="Times New Roman" w:hAnsi="Garamond"/>
          <w:i/>
          <w:lang w:eastAsia="pl-PL"/>
        </w:rPr>
        <w:t>”.</w:t>
      </w:r>
    </w:p>
    <w:p w14:paraId="479A6C73" w14:textId="763468AC" w:rsidR="00012BF5" w:rsidRDefault="00F62600" w:rsidP="00BB376F">
      <w:pPr>
        <w:ind w:left="426"/>
        <w:jc w:val="both"/>
        <w:rPr>
          <w:rFonts w:ascii="Garamond" w:eastAsia="Times New Roman" w:hAnsi="Garamond"/>
          <w:lang w:eastAsia="pl-PL"/>
        </w:rPr>
      </w:pPr>
      <w:r>
        <w:rPr>
          <w:rFonts w:ascii="Garamond" w:eastAsia="Times New Roman" w:hAnsi="Garamond"/>
          <w:lang w:eastAsia="pl-PL"/>
        </w:rPr>
        <w:t xml:space="preserve">Formułując wymogi SIWZ w w/w punkcie Zamawiający nie określił wprost, że próbka </w:t>
      </w:r>
      <w:r w:rsidR="00012BF5">
        <w:rPr>
          <w:rFonts w:ascii="Garamond" w:eastAsia="Times New Roman" w:hAnsi="Garamond"/>
          <w:lang w:eastAsia="pl-PL"/>
        </w:rPr>
        <w:t>(</w:t>
      </w:r>
      <w:r>
        <w:rPr>
          <w:rFonts w:ascii="Garamond" w:eastAsia="Times New Roman" w:hAnsi="Garamond"/>
          <w:lang w:eastAsia="pl-PL"/>
        </w:rPr>
        <w:t>oprócz tego, że stanowić</w:t>
      </w:r>
      <w:r w:rsidR="00F03653">
        <w:rPr>
          <w:rFonts w:ascii="Garamond" w:eastAsia="Times New Roman" w:hAnsi="Garamond"/>
          <w:lang w:eastAsia="pl-PL"/>
        </w:rPr>
        <w:t xml:space="preserve"> będzie</w:t>
      </w:r>
      <w:r>
        <w:rPr>
          <w:rFonts w:ascii="Garamond" w:eastAsia="Times New Roman" w:hAnsi="Garamond"/>
          <w:lang w:eastAsia="pl-PL"/>
        </w:rPr>
        <w:t xml:space="preserve"> część oferty</w:t>
      </w:r>
      <w:r w:rsidR="00C719D4">
        <w:rPr>
          <w:rFonts w:ascii="Garamond" w:eastAsia="Times New Roman" w:hAnsi="Garamond"/>
          <w:lang w:eastAsia="pl-PL"/>
        </w:rPr>
        <w:t xml:space="preserve"> niepodlegającej uzupełnieniu</w:t>
      </w:r>
      <w:r>
        <w:rPr>
          <w:rFonts w:ascii="Garamond" w:eastAsia="Times New Roman" w:hAnsi="Garamond"/>
          <w:lang w:eastAsia="pl-PL"/>
        </w:rPr>
        <w:t xml:space="preserve"> </w:t>
      </w:r>
      <w:r w:rsidR="00F03653">
        <w:rPr>
          <w:rFonts w:ascii="Garamond" w:eastAsia="Times New Roman" w:hAnsi="Garamond"/>
          <w:lang w:eastAsia="pl-PL"/>
        </w:rPr>
        <w:t>a także</w:t>
      </w:r>
      <w:r w:rsidR="00C719D4">
        <w:rPr>
          <w:rFonts w:ascii="Garamond" w:eastAsia="Times New Roman" w:hAnsi="Garamond"/>
          <w:lang w:eastAsia="pl-PL"/>
        </w:rPr>
        <w:t xml:space="preserve"> na tej podstawie </w:t>
      </w:r>
      <w:r w:rsidR="00026282">
        <w:rPr>
          <w:rFonts w:ascii="Garamond" w:eastAsia="Times New Roman" w:hAnsi="Garamond"/>
          <w:lang w:eastAsia="pl-PL"/>
        </w:rPr>
        <w:t xml:space="preserve">zostaną ofercie </w:t>
      </w:r>
      <w:r w:rsidR="00C719D4">
        <w:rPr>
          <w:rFonts w:ascii="Garamond" w:eastAsia="Times New Roman" w:hAnsi="Garamond"/>
          <w:lang w:eastAsia="pl-PL"/>
        </w:rPr>
        <w:t>przyznane punkty w kryterium „Jakość”</w:t>
      </w:r>
      <w:r w:rsidR="00F03653">
        <w:rPr>
          <w:rFonts w:ascii="Garamond" w:eastAsia="Times New Roman" w:hAnsi="Garamond"/>
          <w:lang w:eastAsia="pl-PL"/>
        </w:rPr>
        <w:t>)</w:t>
      </w:r>
      <w:r w:rsidR="00C719D4">
        <w:rPr>
          <w:rFonts w:ascii="Garamond" w:eastAsia="Times New Roman" w:hAnsi="Garamond"/>
          <w:lang w:eastAsia="pl-PL"/>
        </w:rPr>
        <w:t xml:space="preserve"> to niepodważalnym dla Zamawiającego celem żądania</w:t>
      </w:r>
      <w:r w:rsidR="00F03653">
        <w:rPr>
          <w:rFonts w:ascii="Garamond" w:eastAsia="Times New Roman" w:hAnsi="Garamond"/>
          <w:lang w:eastAsia="pl-PL"/>
        </w:rPr>
        <w:t xml:space="preserve"> złożenia </w:t>
      </w:r>
      <w:r w:rsidR="00C719D4">
        <w:rPr>
          <w:rFonts w:ascii="Garamond" w:eastAsia="Times New Roman" w:hAnsi="Garamond"/>
          <w:lang w:eastAsia="pl-PL"/>
        </w:rPr>
        <w:t xml:space="preserve">próbki </w:t>
      </w:r>
      <w:r w:rsidR="00F03653">
        <w:rPr>
          <w:rFonts w:ascii="Garamond" w:eastAsia="Times New Roman" w:hAnsi="Garamond"/>
          <w:lang w:eastAsia="pl-PL"/>
        </w:rPr>
        <w:t xml:space="preserve">wraz z ofertą </w:t>
      </w:r>
      <w:r w:rsidR="00C719D4">
        <w:rPr>
          <w:rFonts w:ascii="Garamond" w:eastAsia="Times New Roman" w:hAnsi="Garamond"/>
          <w:lang w:eastAsia="pl-PL"/>
        </w:rPr>
        <w:t xml:space="preserve">jest </w:t>
      </w:r>
      <w:r w:rsidR="00F03653">
        <w:rPr>
          <w:rFonts w:ascii="Garamond" w:eastAsia="Times New Roman" w:hAnsi="Garamond"/>
          <w:lang w:eastAsia="pl-PL"/>
        </w:rPr>
        <w:t xml:space="preserve">zbadanie </w:t>
      </w:r>
      <w:r w:rsidR="00252F09">
        <w:rPr>
          <w:rFonts w:ascii="Garamond" w:eastAsia="Times New Roman" w:hAnsi="Garamond"/>
          <w:lang w:eastAsia="pl-PL"/>
        </w:rPr>
        <w:t xml:space="preserve">jej </w:t>
      </w:r>
      <w:r w:rsidR="00026282">
        <w:rPr>
          <w:rFonts w:ascii="Garamond" w:eastAsia="Times New Roman" w:hAnsi="Garamond"/>
          <w:lang w:eastAsia="pl-PL"/>
        </w:rPr>
        <w:t xml:space="preserve">również </w:t>
      </w:r>
      <w:r w:rsidR="00074532">
        <w:rPr>
          <w:rFonts w:ascii="Garamond" w:eastAsia="Times New Roman" w:hAnsi="Garamond"/>
          <w:lang w:eastAsia="pl-PL"/>
        </w:rPr>
        <w:t>pod ką</w:t>
      </w:r>
      <w:r w:rsidR="00F03653">
        <w:rPr>
          <w:rFonts w:ascii="Garamond" w:eastAsia="Times New Roman" w:hAnsi="Garamond"/>
          <w:lang w:eastAsia="pl-PL"/>
        </w:rPr>
        <w:t>tem</w:t>
      </w:r>
      <w:r w:rsidR="00026282">
        <w:rPr>
          <w:rFonts w:ascii="Garamond" w:eastAsia="Times New Roman" w:hAnsi="Garamond"/>
          <w:lang w:eastAsia="pl-PL"/>
        </w:rPr>
        <w:t>,</w:t>
      </w:r>
      <w:r w:rsidR="00F03653">
        <w:rPr>
          <w:rFonts w:ascii="Garamond" w:eastAsia="Times New Roman" w:hAnsi="Garamond"/>
          <w:lang w:eastAsia="pl-PL"/>
        </w:rPr>
        <w:t xml:space="preserve"> czy złożona próbka potwierdza parametry</w:t>
      </w:r>
      <w:r w:rsidR="00C719D4">
        <w:rPr>
          <w:rFonts w:ascii="Garamond" w:eastAsia="Times New Roman" w:hAnsi="Garamond"/>
          <w:lang w:eastAsia="pl-PL"/>
        </w:rPr>
        <w:t xml:space="preserve"> jakie zawarł Zamawiający w opisie przedmiotu zamówienia (załącznik nr 1 a do specyfikacji). Zamawiający uprawniony jest do ustalania kryteriów, które pozwolą mu na wybranie oferty spełniającej </w:t>
      </w:r>
      <w:r w:rsidR="00C719D4">
        <w:rPr>
          <w:rFonts w:ascii="Garamond" w:eastAsia="Times New Roman" w:hAnsi="Garamond"/>
          <w:lang w:eastAsia="pl-PL"/>
        </w:rPr>
        <w:lastRenderedPageBreak/>
        <w:t>w najwyższym sto</w:t>
      </w:r>
      <w:r w:rsidR="00B27E21">
        <w:rPr>
          <w:rFonts w:ascii="Garamond" w:eastAsia="Times New Roman" w:hAnsi="Garamond"/>
          <w:lang w:eastAsia="pl-PL"/>
        </w:rPr>
        <w:t>pniu jego uzasadnione potrzeby. Brak precyzyjnego i jednoznacznego wyartykułowania Wykonawcom ”</w:t>
      </w:r>
      <w:r w:rsidR="00A346F4">
        <w:rPr>
          <w:rFonts w:ascii="Garamond" w:eastAsia="Times New Roman" w:hAnsi="Garamond"/>
          <w:lang w:eastAsia="pl-PL"/>
        </w:rPr>
        <w:t>funkcji</w:t>
      </w:r>
      <w:r w:rsidR="00B27E21">
        <w:rPr>
          <w:rFonts w:ascii="Garamond" w:eastAsia="Times New Roman" w:hAnsi="Garamond"/>
          <w:lang w:eastAsia="pl-PL"/>
        </w:rPr>
        <w:t>” przedmiotowej próbki</w:t>
      </w:r>
      <w:r w:rsidR="00252F09">
        <w:rPr>
          <w:rFonts w:ascii="Garamond" w:eastAsia="Times New Roman" w:hAnsi="Garamond"/>
          <w:lang w:eastAsia="pl-PL"/>
        </w:rPr>
        <w:t xml:space="preserve"> oraz określenia </w:t>
      </w:r>
      <w:r w:rsidR="006C3F99">
        <w:rPr>
          <w:rFonts w:ascii="Garamond" w:eastAsia="Times New Roman" w:hAnsi="Garamond"/>
          <w:lang w:eastAsia="pl-PL"/>
        </w:rPr>
        <w:t>pod jakim ką</w:t>
      </w:r>
      <w:r w:rsidR="00252F09">
        <w:rPr>
          <w:rFonts w:ascii="Garamond" w:eastAsia="Times New Roman" w:hAnsi="Garamond"/>
          <w:lang w:eastAsia="pl-PL"/>
        </w:rPr>
        <w:t>tem będą one badane</w:t>
      </w:r>
      <w:r w:rsidR="00B27E21">
        <w:rPr>
          <w:rFonts w:ascii="Garamond" w:eastAsia="Times New Roman" w:hAnsi="Garamond"/>
          <w:lang w:eastAsia="pl-PL"/>
        </w:rPr>
        <w:t xml:space="preserve"> doprowadził do przeniesienia obiektywnego al</w:t>
      </w:r>
      <w:r w:rsidR="00D64906">
        <w:rPr>
          <w:rFonts w:ascii="Garamond" w:eastAsia="Times New Roman" w:hAnsi="Garamond"/>
          <w:lang w:eastAsia="pl-PL"/>
        </w:rPr>
        <w:t>e zarazem bardzo istotnego dla Z</w:t>
      </w:r>
      <w:r w:rsidR="00B27E21">
        <w:rPr>
          <w:rFonts w:ascii="Garamond" w:eastAsia="Times New Roman" w:hAnsi="Garamond"/>
          <w:lang w:eastAsia="pl-PL"/>
        </w:rPr>
        <w:t>amawiającego akcentu oceny próbek na podejście subiektywne</w:t>
      </w:r>
      <w:r w:rsidR="00F03653">
        <w:rPr>
          <w:rFonts w:ascii="Garamond" w:eastAsia="Times New Roman" w:hAnsi="Garamond"/>
          <w:lang w:eastAsia="pl-PL"/>
        </w:rPr>
        <w:t xml:space="preserve"> zastosowane przez Wykonawców </w:t>
      </w:r>
      <w:r w:rsidR="00BE629E">
        <w:rPr>
          <w:rFonts w:ascii="Garamond" w:eastAsia="Times New Roman" w:hAnsi="Garamond"/>
          <w:lang w:eastAsia="pl-PL"/>
        </w:rPr>
        <w:br/>
      </w:r>
      <w:r w:rsidR="00F03653">
        <w:rPr>
          <w:rFonts w:ascii="Garamond" w:eastAsia="Times New Roman" w:hAnsi="Garamond"/>
          <w:lang w:eastAsia="pl-PL"/>
        </w:rPr>
        <w:t xml:space="preserve">a </w:t>
      </w:r>
      <w:r w:rsidR="00D64906">
        <w:rPr>
          <w:rFonts w:ascii="Garamond" w:eastAsia="Times New Roman" w:hAnsi="Garamond"/>
          <w:lang w:eastAsia="pl-PL"/>
        </w:rPr>
        <w:t>w konsekwencji</w:t>
      </w:r>
      <w:r w:rsidR="00F03653">
        <w:rPr>
          <w:rFonts w:ascii="Garamond" w:eastAsia="Times New Roman" w:hAnsi="Garamond"/>
          <w:lang w:eastAsia="pl-PL"/>
        </w:rPr>
        <w:t xml:space="preserve"> rozbieżne interpretacje Wykonawców co do </w:t>
      </w:r>
      <w:r w:rsidR="00D64906">
        <w:rPr>
          <w:rFonts w:ascii="Garamond" w:eastAsia="Times New Roman" w:hAnsi="Garamond"/>
          <w:lang w:eastAsia="pl-PL"/>
        </w:rPr>
        <w:t>„funkcji” i roli</w:t>
      </w:r>
      <w:r w:rsidR="00F03653">
        <w:rPr>
          <w:rFonts w:ascii="Garamond" w:eastAsia="Times New Roman" w:hAnsi="Garamond"/>
          <w:lang w:eastAsia="pl-PL"/>
        </w:rPr>
        <w:t xml:space="preserve"> żądanej próbki</w:t>
      </w:r>
      <w:r w:rsidR="00252F09">
        <w:rPr>
          <w:rFonts w:ascii="Garamond" w:eastAsia="Times New Roman" w:hAnsi="Garamond"/>
          <w:lang w:eastAsia="pl-PL"/>
        </w:rPr>
        <w:t xml:space="preserve">. Zamawiający </w:t>
      </w:r>
      <w:r w:rsidR="006C3F99">
        <w:rPr>
          <w:rFonts w:ascii="Garamond" w:eastAsia="Times New Roman" w:hAnsi="Garamond"/>
          <w:lang w:eastAsia="pl-PL"/>
        </w:rPr>
        <w:t>mając</w:t>
      </w:r>
      <w:r w:rsidR="00252F09">
        <w:rPr>
          <w:rFonts w:ascii="Garamond" w:eastAsia="Times New Roman" w:hAnsi="Garamond"/>
          <w:lang w:eastAsia="pl-PL"/>
        </w:rPr>
        <w:t xml:space="preserve"> na celu badanie próbek pod katem zgodności z parametrami zawartymi </w:t>
      </w:r>
      <w:r w:rsidR="00BE629E">
        <w:rPr>
          <w:rFonts w:ascii="Garamond" w:eastAsia="Times New Roman" w:hAnsi="Garamond"/>
          <w:lang w:eastAsia="pl-PL"/>
        </w:rPr>
        <w:br/>
      </w:r>
      <w:r w:rsidR="00252F09">
        <w:rPr>
          <w:rFonts w:ascii="Garamond" w:eastAsia="Times New Roman" w:hAnsi="Garamond"/>
          <w:lang w:eastAsia="pl-PL"/>
        </w:rPr>
        <w:t xml:space="preserve">w załączniku nr 1 do specyfikacji tj. opis przedmiotu zamówienia </w:t>
      </w:r>
      <w:r w:rsidR="00D64906">
        <w:rPr>
          <w:rFonts w:ascii="Garamond" w:eastAsia="Times New Roman" w:hAnsi="Garamond"/>
          <w:lang w:eastAsia="pl-PL"/>
        </w:rPr>
        <w:t>musi</w:t>
      </w:r>
      <w:r w:rsidR="00252F09">
        <w:rPr>
          <w:rFonts w:ascii="Garamond" w:eastAsia="Times New Roman" w:hAnsi="Garamond"/>
          <w:lang w:eastAsia="pl-PL"/>
        </w:rPr>
        <w:t xml:space="preserve"> mieć </w:t>
      </w:r>
      <w:r w:rsidR="00066D6D">
        <w:rPr>
          <w:rFonts w:ascii="Garamond" w:eastAsia="Times New Roman" w:hAnsi="Garamond"/>
          <w:lang w:eastAsia="pl-PL"/>
        </w:rPr>
        <w:t>gwarancję</w:t>
      </w:r>
      <w:r w:rsidR="00252F09">
        <w:rPr>
          <w:rFonts w:ascii="Garamond" w:eastAsia="Times New Roman" w:hAnsi="Garamond"/>
          <w:lang w:eastAsia="pl-PL"/>
        </w:rPr>
        <w:t>, że zaoferowana próbka stanowić będzie końcowy produkt, który w efekcie zostanie dostarczony Zamawiającemu na podstawie zawartej przyszłej umowy</w:t>
      </w:r>
      <w:r w:rsidR="00066D6D">
        <w:rPr>
          <w:rFonts w:ascii="Garamond" w:eastAsia="Times New Roman" w:hAnsi="Garamond"/>
          <w:lang w:eastAsia="pl-PL"/>
        </w:rPr>
        <w:t xml:space="preserve">. </w:t>
      </w:r>
      <w:r w:rsidR="00252F09">
        <w:rPr>
          <w:rFonts w:ascii="Garamond" w:eastAsia="Times New Roman" w:hAnsi="Garamond"/>
          <w:lang w:eastAsia="pl-PL"/>
        </w:rPr>
        <w:t xml:space="preserve"> </w:t>
      </w:r>
      <w:r w:rsidR="00066D6D">
        <w:rPr>
          <w:rFonts w:ascii="Garamond" w:eastAsia="Times New Roman" w:hAnsi="Garamond"/>
          <w:lang w:eastAsia="pl-PL"/>
        </w:rPr>
        <w:t>Potwierdzeniem słuszności stanowiska Zamawiającego jest</w:t>
      </w:r>
      <w:r w:rsidR="00252F09">
        <w:rPr>
          <w:rFonts w:ascii="Garamond" w:eastAsia="Times New Roman" w:hAnsi="Garamond"/>
          <w:lang w:eastAsia="pl-PL"/>
        </w:rPr>
        <w:t xml:space="preserve"> </w:t>
      </w:r>
      <w:r w:rsidR="00066D6D">
        <w:rPr>
          <w:rFonts w:ascii="Garamond" w:eastAsia="Times New Roman" w:hAnsi="Garamond"/>
          <w:lang w:eastAsia="pl-PL"/>
        </w:rPr>
        <w:t>wyrok KIO</w:t>
      </w:r>
      <w:r w:rsidR="00252F09">
        <w:rPr>
          <w:rFonts w:ascii="Garamond" w:eastAsia="Times New Roman" w:hAnsi="Garamond"/>
          <w:lang w:eastAsia="pl-PL"/>
        </w:rPr>
        <w:t xml:space="preserve"> z 04 sierpnia 2017 </w:t>
      </w:r>
      <w:r w:rsidR="00066D6D">
        <w:rPr>
          <w:rFonts w:ascii="Garamond" w:eastAsia="Times New Roman" w:hAnsi="Garamond"/>
          <w:lang w:eastAsia="pl-PL"/>
        </w:rPr>
        <w:t xml:space="preserve">nr </w:t>
      </w:r>
      <w:r w:rsidR="00252F09">
        <w:rPr>
          <w:rFonts w:ascii="Garamond" w:eastAsia="Times New Roman" w:hAnsi="Garamond"/>
          <w:lang w:eastAsia="pl-PL"/>
        </w:rPr>
        <w:t>1507/17 „</w:t>
      </w:r>
      <w:r w:rsidR="00252F09" w:rsidRPr="006C53B0">
        <w:rPr>
          <w:rFonts w:ascii="Garamond" w:eastAsia="Times New Roman" w:hAnsi="Garamond"/>
          <w:i/>
          <w:lang w:eastAsia="pl-PL"/>
        </w:rPr>
        <w:t>Celem prowa</w:t>
      </w:r>
      <w:r w:rsidR="00074532">
        <w:rPr>
          <w:rFonts w:ascii="Garamond" w:eastAsia="Times New Roman" w:hAnsi="Garamond"/>
          <w:i/>
          <w:lang w:eastAsia="pl-PL"/>
        </w:rPr>
        <w:t>dzenia przez Zamawiającego postę</w:t>
      </w:r>
      <w:r w:rsidR="00252F09" w:rsidRPr="006C53B0">
        <w:rPr>
          <w:rFonts w:ascii="Garamond" w:eastAsia="Times New Roman" w:hAnsi="Garamond"/>
          <w:i/>
          <w:lang w:eastAsia="pl-PL"/>
        </w:rPr>
        <w:t xml:space="preserve">powania zamówieniowego jest zawarcie umowy aby zaspokoić potrzeby </w:t>
      </w:r>
      <w:r w:rsidR="006C53B0" w:rsidRPr="006C53B0">
        <w:rPr>
          <w:rFonts w:ascii="Garamond" w:eastAsia="Times New Roman" w:hAnsi="Garamond"/>
          <w:i/>
          <w:lang w:eastAsia="pl-PL"/>
        </w:rPr>
        <w:t>Zamawiającego</w:t>
      </w:r>
      <w:r w:rsidR="00252F09" w:rsidRPr="006C53B0">
        <w:rPr>
          <w:rFonts w:ascii="Garamond" w:eastAsia="Times New Roman" w:hAnsi="Garamond"/>
          <w:i/>
          <w:lang w:eastAsia="pl-PL"/>
        </w:rPr>
        <w:t xml:space="preserve">. Dlatego zamawiający powinien </w:t>
      </w:r>
      <w:r w:rsidR="00A346F4">
        <w:rPr>
          <w:rFonts w:ascii="Garamond" w:eastAsia="Times New Roman" w:hAnsi="Garamond"/>
          <w:i/>
          <w:lang w:eastAsia="pl-PL"/>
        </w:rPr>
        <w:t xml:space="preserve">tak </w:t>
      </w:r>
      <w:r w:rsidR="00252F09" w:rsidRPr="006C53B0">
        <w:rPr>
          <w:rFonts w:ascii="Garamond" w:eastAsia="Times New Roman" w:hAnsi="Garamond"/>
          <w:i/>
          <w:lang w:eastAsia="pl-PL"/>
        </w:rPr>
        <w:t xml:space="preserve">przygotować </w:t>
      </w:r>
      <w:r w:rsidR="00A346F4">
        <w:rPr>
          <w:rFonts w:ascii="Garamond" w:eastAsia="Times New Roman" w:hAnsi="Garamond"/>
          <w:i/>
          <w:lang w:eastAsia="pl-PL"/>
        </w:rPr>
        <w:t>postę</w:t>
      </w:r>
      <w:r w:rsidR="00252F09" w:rsidRPr="006C53B0">
        <w:rPr>
          <w:rFonts w:ascii="Garamond" w:eastAsia="Times New Roman" w:hAnsi="Garamond"/>
          <w:i/>
          <w:lang w:eastAsia="pl-PL"/>
        </w:rPr>
        <w:t xml:space="preserve">powanie aby Wykonawcy wiedzieli jakie potrzeby </w:t>
      </w:r>
      <w:r w:rsidR="006C53B0" w:rsidRPr="006C53B0">
        <w:rPr>
          <w:rFonts w:ascii="Garamond" w:eastAsia="Times New Roman" w:hAnsi="Garamond"/>
          <w:i/>
          <w:lang w:eastAsia="pl-PL"/>
        </w:rPr>
        <w:t>Zamawiającego</w:t>
      </w:r>
      <w:r w:rsidR="00252F09" w:rsidRPr="006C53B0">
        <w:rPr>
          <w:rFonts w:ascii="Garamond" w:eastAsia="Times New Roman" w:hAnsi="Garamond"/>
          <w:i/>
          <w:lang w:eastAsia="pl-PL"/>
        </w:rPr>
        <w:t xml:space="preserve"> mają zaspokoić i jakimi sposobami to uczynić</w:t>
      </w:r>
      <w:r w:rsidR="00012BF5">
        <w:rPr>
          <w:rFonts w:ascii="Garamond" w:eastAsia="Times New Roman" w:hAnsi="Garamond"/>
          <w:lang w:eastAsia="pl-PL"/>
        </w:rPr>
        <w:t>.”</w:t>
      </w:r>
    </w:p>
    <w:p w14:paraId="73830AF5" w14:textId="53A096C7" w:rsidR="006C3F99" w:rsidRDefault="00477AE1" w:rsidP="00BB376F">
      <w:pPr>
        <w:ind w:left="426"/>
        <w:jc w:val="both"/>
        <w:rPr>
          <w:rFonts w:ascii="Garamond" w:eastAsia="Times New Roman" w:hAnsi="Garamond"/>
          <w:lang w:eastAsia="pl-PL"/>
        </w:rPr>
      </w:pPr>
      <w:r>
        <w:rPr>
          <w:rFonts w:ascii="Garamond" w:eastAsia="Times New Roman" w:hAnsi="Garamond"/>
          <w:lang w:eastAsia="pl-PL"/>
        </w:rPr>
        <w:t>Zamawiający</w:t>
      </w:r>
      <w:r w:rsidR="00026282">
        <w:rPr>
          <w:rFonts w:ascii="Garamond" w:eastAsia="Times New Roman" w:hAnsi="Garamond"/>
          <w:lang w:eastAsia="pl-PL"/>
        </w:rPr>
        <w:t xml:space="preserve"> </w:t>
      </w:r>
      <w:r w:rsidR="00066D6D">
        <w:rPr>
          <w:rFonts w:ascii="Garamond" w:eastAsia="Times New Roman" w:hAnsi="Garamond"/>
          <w:lang w:eastAsia="pl-PL"/>
        </w:rPr>
        <w:t>nie wskazał</w:t>
      </w:r>
      <w:r>
        <w:rPr>
          <w:rFonts w:ascii="Garamond" w:eastAsia="Times New Roman" w:hAnsi="Garamond"/>
          <w:lang w:eastAsia="pl-PL"/>
        </w:rPr>
        <w:t xml:space="preserve"> </w:t>
      </w:r>
      <w:r w:rsidR="00066D6D">
        <w:rPr>
          <w:rFonts w:ascii="Garamond" w:eastAsia="Times New Roman" w:hAnsi="Garamond"/>
          <w:lang w:eastAsia="pl-PL"/>
        </w:rPr>
        <w:t>Wykonawcom, iż</w:t>
      </w:r>
      <w:r>
        <w:rPr>
          <w:rFonts w:ascii="Garamond" w:eastAsia="Times New Roman" w:hAnsi="Garamond"/>
          <w:lang w:eastAsia="pl-PL"/>
        </w:rPr>
        <w:t xml:space="preserve"> przedmiotowe próbki testowane będą na salach operacyjnych podczas odbywających się zabiegów i operacji </w:t>
      </w:r>
      <w:r w:rsidR="00066D6D">
        <w:rPr>
          <w:rFonts w:ascii="Garamond" w:eastAsia="Times New Roman" w:hAnsi="Garamond"/>
          <w:lang w:eastAsia="pl-PL"/>
        </w:rPr>
        <w:t>stąd</w:t>
      </w:r>
      <w:r>
        <w:rPr>
          <w:rFonts w:ascii="Garamond" w:eastAsia="Times New Roman" w:hAnsi="Garamond"/>
          <w:lang w:eastAsia="pl-PL"/>
        </w:rPr>
        <w:t xml:space="preserve"> też wymóg aby próbka oraz jej parametry odpowiadały parametrom zawartym w opisie przedmiotu zamówienia jest bezwzględny</w:t>
      </w:r>
      <w:r w:rsidR="00066D6D">
        <w:rPr>
          <w:rFonts w:ascii="Garamond" w:eastAsia="Times New Roman" w:hAnsi="Garamond"/>
          <w:lang w:eastAsia="pl-PL"/>
        </w:rPr>
        <w:t xml:space="preserve"> </w:t>
      </w:r>
      <w:r w:rsidR="00BE629E">
        <w:rPr>
          <w:rFonts w:ascii="Garamond" w:eastAsia="Times New Roman" w:hAnsi="Garamond"/>
          <w:lang w:eastAsia="pl-PL"/>
        </w:rPr>
        <w:br/>
      </w:r>
      <w:r w:rsidR="00066D6D">
        <w:rPr>
          <w:rFonts w:ascii="Garamond" w:eastAsia="Times New Roman" w:hAnsi="Garamond"/>
          <w:lang w:eastAsia="pl-PL"/>
        </w:rPr>
        <w:t xml:space="preserve">i konieczny dla Zamawiającego. </w:t>
      </w:r>
      <w:r w:rsidR="00A346F4" w:rsidRPr="009859C0">
        <w:rPr>
          <w:rFonts w:ascii="Garamond" w:eastAsia="Times New Roman" w:hAnsi="Garamond"/>
          <w:lang w:eastAsia="pl-PL"/>
        </w:rPr>
        <w:t xml:space="preserve">Biorąc więc pod </w:t>
      </w:r>
      <w:r w:rsidR="00A25201" w:rsidRPr="009859C0">
        <w:rPr>
          <w:rFonts w:ascii="Garamond" w:eastAsia="Times New Roman" w:hAnsi="Garamond"/>
          <w:lang w:eastAsia="pl-PL"/>
        </w:rPr>
        <w:t>uwagę ten</w:t>
      </w:r>
      <w:r w:rsidR="00A346F4" w:rsidRPr="009859C0">
        <w:rPr>
          <w:rFonts w:ascii="Garamond" w:eastAsia="Times New Roman" w:hAnsi="Garamond"/>
          <w:lang w:eastAsia="pl-PL"/>
        </w:rPr>
        <w:t xml:space="preserve"> fakt</w:t>
      </w:r>
      <w:r w:rsidR="00A25201" w:rsidRPr="009859C0">
        <w:rPr>
          <w:rFonts w:ascii="Garamond" w:eastAsia="Times New Roman" w:hAnsi="Garamond"/>
          <w:lang w:eastAsia="pl-PL"/>
        </w:rPr>
        <w:t xml:space="preserve"> oraz przedstawione okoliczności</w:t>
      </w:r>
      <w:r w:rsidR="00A346F4" w:rsidRPr="009859C0">
        <w:rPr>
          <w:rFonts w:ascii="Garamond" w:eastAsia="Times New Roman" w:hAnsi="Garamond"/>
          <w:lang w:eastAsia="pl-PL"/>
        </w:rPr>
        <w:t xml:space="preserve">, niepodważalnie jest stanowisko Zamawiającego, iż nie bez znaczenia dla Zamawiającego są parametry zaoferowanych próbek oraz potwierdzenie ich zgodności już na etapie oceny zarówno w kryterium jakość jak i zgodność z parametrami zawartymi </w:t>
      </w:r>
      <w:r w:rsidR="00D64906" w:rsidRPr="009859C0">
        <w:rPr>
          <w:rFonts w:ascii="Garamond" w:eastAsia="Times New Roman" w:hAnsi="Garamond"/>
          <w:lang w:eastAsia="pl-PL"/>
        </w:rPr>
        <w:t xml:space="preserve">w </w:t>
      </w:r>
      <w:r w:rsidR="00A346F4" w:rsidRPr="009859C0">
        <w:rPr>
          <w:rFonts w:ascii="Garamond" w:eastAsia="Times New Roman" w:hAnsi="Garamond"/>
          <w:lang w:eastAsia="pl-PL"/>
        </w:rPr>
        <w:t>opisie przedmiotu zamówienia. Dla zobrazowania stanowiska Zamawiającego: serweta trzywarstwowa o konkretnych wymiarach 75 cm x</w:t>
      </w:r>
      <w:r w:rsidR="00472E2A" w:rsidRPr="009859C0">
        <w:rPr>
          <w:rFonts w:ascii="Garamond" w:eastAsia="Times New Roman" w:hAnsi="Garamond"/>
          <w:lang w:eastAsia="pl-PL"/>
        </w:rPr>
        <w:t xml:space="preserve"> </w:t>
      </w:r>
      <w:r w:rsidR="00A346F4" w:rsidRPr="009859C0">
        <w:rPr>
          <w:rFonts w:ascii="Garamond" w:eastAsia="Times New Roman" w:hAnsi="Garamond"/>
          <w:lang w:eastAsia="pl-PL"/>
        </w:rPr>
        <w:t xml:space="preserve">75 cm cechuje się odpowiednią np. wodoszczelnością, barierą dla płynów czy </w:t>
      </w:r>
      <w:proofErr w:type="spellStart"/>
      <w:r w:rsidR="00A346F4" w:rsidRPr="009859C0">
        <w:rPr>
          <w:rFonts w:ascii="Garamond" w:eastAsia="Times New Roman" w:hAnsi="Garamond"/>
          <w:lang w:eastAsia="pl-PL"/>
        </w:rPr>
        <w:t>wchłanialnością</w:t>
      </w:r>
      <w:proofErr w:type="spellEnd"/>
      <w:r w:rsidR="00A346F4" w:rsidRPr="009859C0">
        <w:rPr>
          <w:rFonts w:ascii="Garamond" w:eastAsia="Times New Roman" w:hAnsi="Garamond"/>
          <w:lang w:eastAsia="pl-PL"/>
        </w:rPr>
        <w:t>, która w myśl określonych przez Zamawiającego</w:t>
      </w:r>
      <w:r w:rsidR="006819E5" w:rsidRPr="009859C0">
        <w:rPr>
          <w:rFonts w:ascii="Garamond" w:eastAsia="Times New Roman" w:hAnsi="Garamond"/>
          <w:lang w:eastAsia="pl-PL"/>
        </w:rPr>
        <w:t xml:space="preserve"> w specyfikacji </w:t>
      </w:r>
      <w:r w:rsidR="00A346F4" w:rsidRPr="009859C0">
        <w:rPr>
          <w:rFonts w:ascii="Garamond" w:eastAsia="Times New Roman" w:hAnsi="Garamond"/>
          <w:lang w:eastAsia="pl-PL"/>
        </w:rPr>
        <w:t xml:space="preserve"> Normach PN EN 13795 (lub równoważną) </w:t>
      </w:r>
      <w:r w:rsidR="00D64906" w:rsidRPr="009859C0">
        <w:rPr>
          <w:rFonts w:ascii="Garamond" w:eastAsia="Times New Roman" w:hAnsi="Garamond"/>
          <w:lang w:eastAsia="pl-PL"/>
        </w:rPr>
        <w:t>musi</w:t>
      </w:r>
      <w:r w:rsidR="006819E5" w:rsidRPr="009859C0">
        <w:rPr>
          <w:rFonts w:ascii="Garamond" w:eastAsia="Times New Roman" w:hAnsi="Garamond"/>
          <w:lang w:eastAsia="pl-PL"/>
        </w:rPr>
        <w:t xml:space="preserve"> cechować</w:t>
      </w:r>
      <w:r w:rsidR="00D64906" w:rsidRPr="009859C0">
        <w:rPr>
          <w:rFonts w:ascii="Garamond" w:eastAsia="Times New Roman" w:hAnsi="Garamond"/>
          <w:lang w:eastAsia="pl-PL"/>
        </w:rPr>
        <w:t xml:space="preserve"> się</w:t>
      </w:r>
      <w:r w:rsidR="006819E5" w:rsidRPr="009859C0">
        <w:rPr>
          <w:rFonts w:ascii="Garamond" w:eastAsia="Times New Roman" w:hAnsi="Garamond"/>
          <w:lang w:eastAsia="pl-PL"/>
        </w:rPr>
        <w:t xml:space="preserve"> bądź </w:t>
      </w:r>
      <w:r w:rsidR="00D64906" w:rsidRPr="009859C0">
        <w:rPr>
          <w:rFonts w:ascii="Garamond" w:eastAsia="Times New Roman" w:hAnsi="Garamond"/>
          <w:lang w:eastAsia="pl-PL"/>
        </w:rPr>
        <w:t>posiadać (czy tez wykazywać się)</w:t>
      </w:r>
      <w:r w:rsidR="00A346F4" w:rsidRPr="009859C0">
        <w:rPr>
          <w:rFonts w:ascii="Garamond" w:eastAsia="Times New Roman" w:hAnsi="Garamond"/>
          <w:lang w:eastAsia="pl-PL"/>
        </w:rPr>
        <w:t xml:space="preserve"> na określonym poziomie</w:t>
      </w:r>
      <w:r w:rsidR="00472E2A" w:rsidRPr="009859C0">
        <w:rPr>
          <w:rFonts w:ascii="Garamond" w:eastAsia="Times New Roman" w:hAnsi="Garamond"/>
          <w:lang w:eastAsia="pl-PL"/>
        </w:rPr>
        <w:t xml:space="preserve"> we wskazanych parametrach/cechach</w:t>
      </w:r>
      <w:r w:rsidR="00A346F4" w:rsidRPr="009859C0">
        <w:rPr>
          <w:rFonts w:ascii="Garamond" w:eastAsia="Times New Roman" w:hAnsi="Garamond"/>
          <w:lang w:eastAsia="pl-PL"/>
        </w:rPr>
        <w:t xml:space="preserve">. W sytuacji jeżeli Zamawiający </w:t>
      </w:r>
      <w:r w:rsidR="00472E2A" w:rsidRPr="009859C0">
        <w:rPr>
          <w:rFonts w:ascii="Garamond" w:eastAsia="Times New Roman" w:hAnsi="Garamond"/>
          <w:lang w:eastAsia="pl-PL"/>
        </w:rPr>
        <w:t xml:space="preserve">w opisanych </w:t>
      </w:r>
      <w:r w:rsidR="00A346F4" w:rsidRPr="009859C0">
        <w:rPr>
          <w:rFonts w:ascii="Garamond" w:eastAsia="Times New Roman" w:hAnsi="Garamond"/>
          <w:lang w:eastAsia="pl-PL"/>
        </w:rPr>
        <w:t>powyżej warunkach</w:t>
      </w:r>
      <w:r w:rsidR="006819E5" w:rsidRPr="009859C0">
        <w:rPr>
          <w:rFonts w:ascii="Garamond" w:eastAsia="Times New Roman" w:hAnsi="Garamond"/>
          <w:lang w:eastAsia="pl-PL"/>
        </w:rPr>
        <w:t xml:space="preserve"> czyli podczas konkretnego zabiegu operacyjnego</w:t>
      </w:r>
      <w:r w:rsidR="00A346F4" w:rsidRPr="009859C0">
        <w:rPr>
          <w:rFonts w:ascii="Garamond" w:eastAsia="Times New Roman" w:hAnsi="Garamond"/>
          <w:lang w:eastAsia="pl-PL"/>
        </w:rPr>
        <w:t xml:space="preserve"> przetestuje próbkę </w:t>
      </w:r>
      <w:r w:rsidR="006819E5" w:rsidRPr="009859C0">
        <w:rPr>
          <w:rFonts w:ascii="Garamond" w:eastAsia="Times New Roman" w:hAnsi="Garamond"/>
          <w:lang w:eastAsia="pl-PL"/>
        </w:rPr>
        <w:t xml:space="preserve">tejże </w:t>
      </w:r>
      <w:r w:rsidR="00A346F4" w:rsidRPr="009859C0">
        <w:rPr>
          <w:rFonts w:ascii="Garamond" w:eastAsia="Times New Roman" w:hAnsi="Garamond"/>
          <w:lang w:eastAsia="pl-PL"/>
        </w:rPr>
        <w:t xml:space="preserve">serwery trzywarstwowej </w:t>
      </w:r>
      <w:r w:rsidR="006819E5" w:rsidRPr="009859C0">
        <w:rPr>
          <w:rFonts w:ascii="Garamond" w:eastAsia="Times New Roman" w:hAnsi="Garamond"/>
          <w:lang w:eastAsia="pl-PL"/>
        </w:rPr>
        <w:t xml:space="preserve">ale </w:t>
      </w:r>
      <w:r w:rsidR="00A346F4" w:rsidRPr="009859C0">
        <w:rPr>
          <w:rFonts w:ascii="Garamond" w:eastAsia="Times New Roman" w:hAnsi="Garamond"/>
          <w:lang w:eastAsia="pl-PL"/>
        </w:rPr>
        <w:t>o wymiarach np.</w:t>
      </w:r>
      <w:r w:rsidR="006819E5" w:rsidRPr="009859C0">
        <w:rPr>
          <w:rFonts w:ascii="Garamond" w:eastAsia="Times New Roman" w:hAnsi="Garamond"/>
          <w:lang w:eastAsia="pl-PL"/>
        </w:rPr>
        <w:t xml:space="preserve"> 40x4</w:t>
      </w:r>
      <w:r w:rsidR="00A346F4" w:rsidRPr="009859C0">
        <w:rPr>
          <w:rFonts w:ascii="Garamond" w:eastAsia="Times New Roman" w:hAnsi="Garamond"/>
          <w:lang w:eastAsia="pl-PL"/>
        </w:rPr>
        <w:t xml:space="preserve">0 cm to tym samym jej </w:t>
      </w:r>
      <w:proofErr w:type="spellStart"/>
      <w:r w:rsidR="00A346F4" w:rsidRPr="009859C0">
        <w:rPr>
          <w:rFonts w:ascii="Garamond" w:eastAsia="Times New Roman" w:hAnsi="Garamond"/>
          <w:lang w:eastAsia="pl-PL"/>
        </w:rPr>
        <w:t>wchłanialność</w:t>
      </w:r>
      <w:proofErr w:type="spellEnd"/>
      <w:r w:rsidR="00A346F4" w:rsidRPr="009859C0">
        <w:rPr>
          <w:rFonts w:ascii="Garamond" w:eastAsia="Times New Roman" w:hAnsi="Garamond"/>
          <w:lang w:eastAsia="pl-PL"/>
        </w:rPr>
        <w:t xml:space="preserve"> czy bariera na płyny będzie zupełnie inna</w:t>
      </w:r>
      <w:r w:rsidR="006819E5" w:rsidRPr="009859C0">
        <w:rPr>
          <w:rFonts w:ascii="Garamond" w:eastAsia="Times New Roman" w:hAnsi="Garamond"/>
          <w:lang w:eastAsia="pl-PL"/>
        </w:rPr>
        <w:t xml:space="preserve"> (zapewne mniejsza)</w:t>
      </w:r>
      <w:r w:rsidR="00A346F4" w:rsidRPr="009859C0">
        <w:rPr>
          <w:rFonts w:ascii="Garamond" w:eastAsia="Times New Roman" w:hAnsi="Garamond"/>
          <w:lang w:eastAsia="pl-PL"/>
        </w:rPr>
        <w:t xml:space="preserve"> co w konsekwencji doprowadzi do sytuacji w której próbki Wykonawców trzeba będzie uznać za „nieporównywalne”</w:t>
      </w:r>
      <w:r w:rsidR="001C7A12" w:rsidRPr="009859C0">
        <w:rPr>
          <w:rFonts w:ascii="Garamond" w:eastAsia="Times New Roman" w:hAnsi="Garamond"/>
          <w:lang w:eastAsia="pl-PL"/>
        </w:rPr>
        <w:t>, przeprowadzenie oceny próbek</w:t>
      </w:r>
      <w:r w:rsidR="00472E2A" w:rsidRPr="009859C0">
        <w:rPr>
          <w:rFonts w:ascii="Garamond" w:eastAsia="Times New Roman" w:hAnsi="Garamond"/>
          <w:lang w:eastAsia="pl-PL"/>
        </w:rPr>
        <w:t xml:space="preserve"> niemożliwe a w konsekwencji</w:t>
      </w:r>
      <w:r w:rsidR="006819E5" w:rsidRPr="009859C0">
        <w:rPr>
          <w:rFonts w:ascii="Garamond" w:eastAsia="Times New Roman" w:hAnsi="Garamond"/>
          <w:lang w:eastAsia="pl-PL"/>
        </w:rPr>
        <w:t xml:space="preserve"> przeprowadzenie zabiegu operacyjnego  utrudnione a w najgorszym wypadku niemożliwe. </w:t>
      </w:r>
    </w:p>
    <w:p w14:paraId="12101308" w14:textId="242964F9" w:rsidR="00F62600" w:rsidRPr="00F62600" w:rsidRDefault="009E7933" w:rsidP="00BB376F">
      <w:pPr>
        <w:ind w:left="426"/>
        <w:jc w:val="both"/>
        <w:rPr>
          <w:rFonts w:ascii="Garamond" w:hAnsi="Garamond"/>
          <w:b/>
          <w:bCs/>
        </w:rPr>
      </w:pPr>
      <w:r>
        <w:rPr>
          <w:rFonts w:ascii="Garamond" w:eastAsia="Times New Roman" w:hAnsi="Garamond"/>
          <w:lang w:eastAsia="pl-PL"/>
        </w:rPr>
        <w:t>Opisana powyżej wada</w:t>
      </w:r>
      <w:r w:rsidR="006C3F99">
        <w:rPr>
          <w:rFonts w:ascii="Garamond" w:eastAsia="Times New Roman" w:hAnsi="Garamond"/>
          <w:lang w:eastAsia="pl-PL"/>
        </w:rPr>
        <w:t xml:space="preserve"> postępowania jest niemożliwa do usunięcia gdyż </w:t>
      </w:r>
      <w:r w:rsidR="00066D6D">
        <w:rPr>
          <w:rFonts w:ascii="Garamond" w:eastAsia="Times New Roman" w:hAnsi="Garamond"/>
          <w:lang w:eastAsia="pl-PL"/>
        </w:rPr>
        <w:t xml:space="preserve">wada </w:t>
      </w:r>
      <w:r w:rsidR="00066D6D" w:rsidRPr="009E7933">
        <w:rPr>
          <w:rFonts w:ascii="Garamond" w:eastAsia="Times New Roman" w:hAnsi="Garamond"/>
          <w:lang w:eastAsia="pl-PL"/>
        </w:rPr>
        <w:t xml:space="preserve">ta </w:t>
      </w:r>
      <w:r w:rsidR="006C3F99" w:rsidRPr="009E7933">
        <w:rPr>
          <w:rFonts w:ascii="Garamond" w:eastAsia="Times New Roman" w:hAnsi="Garamond"/>
          <w:lang w:eastAsia="pl-PL"/>
        </w:rPr>
        <w:t xml:space="preserve">„ujawniona” została </w:t>
      </w:r>
      <w:r w:rsidR="006C3F99">
        <w:rPr>
          <w:rFonts w:ascii="Garamond" w:eastAsia="Times New Roman" w:hAnsi="Garamond"/>
          <w:lang w:eastAsia="pl-PL"/>
        </w:rPr>
        <w:t xml:space="preserve">po terminie otwarcia ofert. </w:t>
      </w:r>
      <w:r w:rsidR="00F03653">
        <w:rPr>
          <w:rFonts w:ascii="Garamond" w:eastAsia="Times New Roman" w:hAnsi="Garamond"/>
          <w:lang w:eastAsia="pl-PL"/>
        </w:rPr>
        <w:t xml:space="preserve"> </w:t>
      </w:r>
      <w:r w:rsidR="00B27E21">
        <w:rPr>
          <w:rFonts w:ascii="Garamond" w:eastAsia="Times New Roman" w:hAnsi="Garamond"/>
          <w:lang w:eastAsia="pl-PL"/>
        </w:rPr>
        <w:t xml:space="preserve">  </w:t>
      </w:r>
      <w:r w:rsidR="00F62600">
        <w:rPr>
          <w:rFonts w:ascii="Garamond" w:eastAsia="Times New Roman" w:hAnsi="Garamond"/>
          <w:lang w:eastAsia="pl-PL"/>
        </w:rPr>
        <w:t xml:space="preserve"> </w:t>
      </w:r>
    </w:p>
    <w:p w14:paraId="4A4AFB48" w14:textId="35046E4B" w:rsidR="00DE59B9" w:rsidRPr="00FC46BC" w:rsidRDefault="00975819" w:rsidP="00BB376F">
      <w:pPr>
        <w:pStyle w:val="Akapitzlist"/>
        <w:numPr>
          <w:ilvl w:val="0"/>
          <w:numId w:val="2"/>
        </w:numPr>
        <w:ind w:left="426" w:hanging="284"/>
        <w:jc w:val="both"/>
        <w:rPr>
          <w:rFonts w:ascii="Garamond" w:eastAsia="Times New Roman" w:hAnsi="Garamond"/>
          <w:lang w:eastAsia="pl-PL"/>
        </w:rPr>
      </w:pPr>
      <w:r w:rsidRPr="00A346F4">
        <w:rPr>
          <w:rFonts w:ascii="Garamond" w:eastAsia="Times New Roman" w:hAnsi="Garamond"/>
          <w:u w:val="single"/>
          <w:lang w:eastAsia="pl-PL"/>
        </w:rPr>
        <w:t>Zamawiający w pkt</w:t>
      </w:r>
      <w:r w:rsidR="006C3F99" w:rsidRPr="00A346F4">
        <w:rPr>
          <w:rFonts w:ascii="Garamond" w:eastAsia="Times New Roman" w:hAnsi="Garamond"/>
          <w:u w:val="single"/>
          <w:lang w:eastAsia="pl-PL"/>
        </w:rPr>
        <w:t xml:space="preserve">. 13) </w:t>
      </w:r>
      <w:r w:rsidRPr="00A346F4">
        <w:rPr>
          <w:rFonts w:ascii="Garamond" w:eastAsia="Times New Roman" w:hAnsi="Garamond"/>
          <w:u w:val="single"/>
          <w:lang w:eastAsia="pl-PL"/>
        </w:rPr>
        <w:t xml:space="preserve">SIWZ nie </w:t>
      </w:r>
      <w:r w:rsidR="00B84730" w:rsidRPr="00A346F4">
        <w:rPr>
          <w:rFonts w:ascii="Garamond" w:eastAsia="Times New Roman" w:hAnsi="Garamond"/>
          <w:u w:val="single"/>
          <w:lang w:eastAsia="pl-PL"/>
        </w:rPr>
        <w:t>określił precyzyjnie i wyczerpująco</w:t>
      </w:r>
      <w:r w:rsidRPr="00A346F4">
        <w:rPr>
          <w:rFonts w:ascii="Garamond" w:eastAsia="Times New Roman" w:hAnsi="Garamond"/>
          <w:u w:val="single"/>
          <w:lang w:eastAsia="pl-PL"/>
        </w:rPr>
        <w:t xml:space="preserve"> </w:t>
      </w:r>
      <w:r w:rsidR="00B84730" w:rsidRPr="00A346F4">
        <w:rPr>
          <w:rFonts w:ascii="Garamond" w:eastAsia="Times New Roman" w:hAnsi="Garamond"/>
          <w:u w:val="single"/>
          <w:lang w:eastAsia="pl-PL"/>
        </w:rPr>
        <w:t xml:space="preserve">zasad w oparciu o które </w:t>
      </w:r>
      <w:r w:rsidRPr="00A346F4">
        <w:rPr>
          <w:rFonts w:ascii="Garamond" w:eastAsia="Times New Roman" w:hAnsi="Garamond"/>
          <w:u w:val="single"/>
          <w:lang w:eastAsia="pl-PL"/>
        </w:rPr>
        <w:t xml:space="preserve"> zostanie przeprowad</w:t>
      </w:r>
      <w:r w:rsidR="00012BF5">
        <w:rPr>
          <w:rFonts w:ascii="Garamond" w:eastAsia="Times New Roman" w:hAnsi="Garamond"/>
          <w:u w:val="single"/>
          <w:lang w:eastAsia="pl-PL"/>
        </w:rPr>
        <w:t>zona ocena próbek w kryterium „J</w:t>
      </w:r>
      <w:r w:rsidRPr="00A346F4">
        <w:rPr>
          <w:rFonts w:ascii="Garamond" w:eastAsia="Times New Roman" w:hAnsi="Garamond"/>
          <w:u w:val="single"/>
          <w:lang w:eastAsia="pl-PL"/>
        </w:rPr>
        <w:t xml:space="preserve">akość” a także </w:t>
      </w:r>
      <w:r w:rsidR="0099233B" w:rsidRPr="00A346F4">
        <w:rPr>
          <w:rFonts w:ascii="Garamond" w:eastAsia="Times New Roman" w:hAnsi="Garamond"/>
          <w:u w:val="single"/>
          <w:lang w:eastAsia="pl-PL"/>
        </w:rPr>
        <w:t xml:space="preserve">nie </w:t>
      </w:r>
      <w:r w:rsidR="00B84730" w:rsidRPr="00A346F4">
        <w:rPr>
          <w:rFonts w:ascii="Garamond" w:eastAsia="Times New Roman" w:hAnsi="Garamond"/>
          <w:u w:val="single"/>
          <w:lang w:eastAsia="pl-PL"/>
        </w:rPr>
        <w:t xml:space="preserve">przedstawił szczegółowej punktacji </w:t>
      </w:r>
      <w:r w:rsidRPr="00A346F4">
        <w:rPr>
          <w:rFonts w:ascii="Garamond" w:eastAsia="Times New Roman" w:hAnsi="Garamond"/>
          <w:u w:val="single"/>
          <w:lang w:eastAsia="pl-PL"/>
        </w:rPr>
        <w:t xml:space="preserve"> </w:t>
      </w:r>
      <w:r w:rsidR="00B84730" w:rsidRPr="00A346F4">
        <w:rPr>
          <w:rFonts w:ascii="Garamond" w:eastAsia="Times New Roman" w:hAnsi="Garamond"/>
          <w:u w:val="single"/>
          <w:lang w:eastAsia="pl-PL"/>
        </w:rPr>
        <w:t>w oparciu o którą przyzna punkty zaoferowanym wyrobom</w:t>
      </w:r>
      <w:r w:rsidR="006C3F99" w:rsidRPr="00A346F4">
        <w:rPr>
          <w:rFonts w:ascii="Garamond" w:eastAsia="Times New Roman" w:hAnsi="Garamond"/>
          <w:u w:val="single"/>
          <w:lang w:eastAsia="pl-PL"/>
        </w:rPr>
        <w:t xml:space="preserve">. Tym samym </w:t>
      </w:r>
      <w:r w:rsidR="0099233B" w:rsidRPr="00A346F4">
        <w:rPr>
          <w:rFonts w:ascii="Garamond" w:eastAsia="Times New Roman" w:hAnsi="Garamond"/>
          <w:u w:val="single"/>
          <w:lang w:eastAsia="pl-PL"/>
        </w:rPr>
        <w:t xml:space="preserve">Zamawiający </w:t>
      </w:r>
      <w:r w:rsidR="001B0EB5" w:rsidRPr="00A346F4">
        <w:rPr>
          <w:rFonts w:ascii="Garamond" w:eastAsia="Times New Roman" w:hAnsi="Garamond"/>
          <w:u w:val="single"/>
          <w:lang w:eastAsia="pl-PL"/>
        </w:rPr>
        <w:t xml:space="preserve">dokonując oceny jakościowej </w:t>
      </w:r>
      <w:r w:rsidR="00026282" w:rsidRPr="00A346F4">
        <w:rPr>
          <w:rFonts w:ascii="Garamond" w:eastAsia="Times New Roman" w:hAnsi="Garamond"/>
          <w:u w:val="single"/>
          <w:lang w:eastAsia="pl-PL"/>
        </w:rPr>
        <w:t>mógłby</w:t>
      </w:r>
      <w:r w:rsidR="0099233B" w:rsidRPr="00A346F4">
        <w:rPr>
          <w:rFonts w:ascii="Garamond" w:eastAsia="Times New Roman" w:hAnsi="Garamond"/>
          <w:u w:val="single"/>
          <w:lang w:eastAsia="pl-PL"/>
        </w:rPr>
        <w:t xml:space="preserve"> </w:t>
      </w:r>
      <w:r w:rsidR="006C3F99" w:rsidRPr="00A346F4">
        <w:rPr>
          <w:rFonts w:ascii="Garamond" w:eastAsia="Times New Roman" w:hAnsi="Garamond"/>
          <w:u w:val="single"/>
          <w:lang w:eastAsia="pl-PL"/>
        </w:rPr>
        <w:t>doprowadzić</w:t>
      </w:r>
      <w:r w:rsidR="0099233B" w:rsidRPr="00A346F4">
        <w:rPr>
          <w:rFonts w:ascii="Garamond" w:eastAsia="Times New Roman" w:hAnsi="Garamond"/>
          <w:u w:val="single"/>
          <w:lang w:eastAsia="pl-PL"/>
        </w:rPr>
        <w:t xml:space="preserve"> do naruszenia zasad uczciwej konkurencji a tym samym czynność </w:t>
      </w:r>
      <w:r w:rsidR="00066D6D" w:rsidRPr="00A346F4">
        <w:rPr>
          <w:rFonts w:ascii="Garamond" w:eastAsia="Times New Roman" w:hAnsi="Garamond"/>
          <w:u w:val="single"/>
          <w:lang w:eastAsia="pl-PL"/>
        </w:rPr>
        <w:t xml:space="preserve">ta </w:t>
      </w:r>
      <w:r w:rsidR="00026282" w:rsidRPr="00A346F4">
        <w:rPr>
          <w:rFonts w:ascii="Garamond" w:eastAsia="Times New Roman" w:hAnsi="Garamond"/>
          <w:u w:val="single"/>
          <w:lang w:eastAsia="pl-PL"/>
        </w:rPr>
        <w:t>mogła</w:t>
      </w:r>
      <w:r w:rsidR="0099233B" w:rsidRPr="00A346F4">
        <w:rPr>
          <w:rFonts w:ascii="Garamond" w:eastAsia="Times New Roman" w:hAnsi="Garamond"/>
          <w:u w:val="single"/>
          <w:lang w:eastAsia="pl-PL"/>
        </w:rPr>
        <w:t xml:space="preserve"> by mieć wpływ </w:t>
      </w:r>
      <w:r w:rsidR="001B0EB5" w:rsidRPr="00A346F4">
        <w:rPr>
          <w:rFonts w:ascii="Garamond" w:eastAsia="Times New Roman" w:hAnsi="Garamond"/>
          <w:u w:val="single"/>
          <w:lang w:eastAsia="pl-PL"/>
        </w:rPr>
        <w:t>na wynik postę</w:t>
      </w:r>
      <w:r w:rsidR="0099233B" w:rsidRPr="00A346F4">
        <w:rPr>
          <w:rFonts w:ascii="Garamond" w:eastAsia="Times New Roman" w:hAnsi="Garamond"/>
          <w:u w:val="single"/>
          <w:lang w:eastAsia="pl-PL"/>
        </w:rPr>
        <w:t>powania.</w:t>
      </w:r>
      <w:r w:rsidR="0099233B">
        <w:rPr>
          <w:rFonts w:ascii="Garamond" w:eastAsia="Times New Roman" w:hAnsi="Garamond"/>
          <w:lang w:eastAsia="pl-PL"/>
        </w:rPr>
        <w:t xml:space="preserve"> </w:t>
      </w:r>
      <w:r w:rsidR="00FC46BC">
        <w:rPr>
          <w:rFonts w:ascii="Garamond" w:eastAsia="Times New Roman" w:hAnsi="Garamond"/>
          <w:lang w:eastAsia="pl-PL"/>
        </w:rPr>
        <w:t xml:space="preserve"> </w:t>
      </w:r>
      <w:r w:rsidR="00DE59B9" w:rsidRPr="00FC46BC">
        <w:rPr>
          <w:rFonts w:ascii="Garamond" w:eastAsia="Times New Roman" w:hAnsi="Garamond"/>
          <w:lang w:eastAsia="pl-PL"/>
        </w:rPr>
        <w:t>Zamawiający w pkt. 13) SIWZ zawarł zapis: „</w:t>
      </w:r>
      <w:r w:rsidR="00DE59B9" w:rsidRPr="00FC46BC">
        <w:rPr>
          <w:rFonts w:ascii="Garamond" w:eastAsia="Times New Roman" w:hAnsi="Garamond"/>
          <w:i/>
          <w:lang w:eastAsia="pl-PL"/>
        </w:rPr>
        <w:t xml:space="preserve">(….) </w:t>
      </w:r>
      <w:r w:rsidR="00DE59B9" w:rsidRPr="00FC46BC">
        <w:rPr>
          <w:rFonts w:ascii="Garamond" w:hAnsi="Garamond"/>
          <w:i/>
        </w:rPr>
        <w:t>Ocena w kryterium „Jakość”:</w:t>
      </w:r>
    </w:p>
    <w:p w14:paraId="1B3FD60A" w14:textId="4B86457B" w:rsidR="00DE59B9" w:rsidRPr="00DE59B9" w:rsidRDefault="00DE59B9" w:rsidP="00BB376F">
      <w:pPr>
        <w:ind w:left="426"/>
        <w:jc w:val="both"/>
        <w:rPr>
          <w:rFonts w:ascii="Garamond" w:hAnsi="Garamond"/>
          <w:i/>
        </w:rPr>
      </w:pPr>
      <w:r w:rsidRPr="00DE59B9">
        <w:rPr>
          <w:rFonts w:ascii="Garamond" w:hAnsi="Garamond"/>
          <w:i/>
        </w:rPr>
        <w:t>„Jakość” oceniana będzie przez biegłych w oparciu o złożone wraz z ofertą próbki (o których mowa w punkcie 10.2.3 specyfikacji) oferowanych wyrobów. Każda pozycja w danej części, w zakresie której wymagane było złożenie próbek</w:t>
      </w:r>
      <w:r>
        <w:rPr>
          <w:rFonts w:ascii="Garamond" w:hAnsi="Garamond"/>
          <w:i/>
        </w:rPr>
        <w:t xml:space="preserve"> oceniana będzie indywidualnie. </w:t>
      </w:r>
      <w:r w:rsidRPr="00DE59B9">
        <w:rPr>
          <w:rFonts w:ascii="Garamond" w:hAnsi="Garamond"/>
          <w:i/>
        </w:rPr>
        <w:t>W ramach oceny zostaną przyznane punkty za poszczególne cechy/parametry. Suma punktów otrzymanych przez daną ofertę w danej części za poszczególne cechy/parametry zostanie podstawiona do podanego powyżej wzoru.„ Jakość” oceniana będzie w oparciu o następujące parametry (cechy) oferowanych wyrobów:</w:t>
      </w:r>
    </w:p>
    <w:p w14:paraId="7B031020" w14:textId="77777777" w:rsidR="00DE59B9" w:rsidRPr="00DE59B9" w:rsidRDefault="00DE59B9" w:rsidP="00BB376F">
      <w:pPr>
        <w:spacing w:after="160" w:line="259" w:lineRule="auto"/>
        <w:ind w:left="567"/>
        <w:contextualSpacing/>
        <w:jc w:val="both"/>
        <w:rPr>
          <w:rFonts w:ascii="Garamond" w:hAnsi="Garamond" w:cs="Calibri"/>
          <w:b/>
          <w:bCs/>
          <w:sz w:val="18"/>
          <w:szCs w:val="18"/>
          <w:lang w:eastAsia="ar-SA"/>
        </w:rPr>
      </w:pPr>
      <w:r w:rsidRPr="00DE59B9">
        <w:rPr>
          <w:rFonts w:ascii="Garamond" w:hAnsi="Garamond" w:cs="Calibri"/>
          <w:b/>
          <w:bCs/>
          <w:sz w:val="18"/>
          <w:szCs w:val="18"/>
          <w:lang w:eastAsia="ar-SA"/>
        </w:rPr>
        <w:t>Część 1-2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148"/>
        <w:gridCol w:w="4012"/>
      </w:tblGrid>
      <w:tr w:rsidR="00DE59B9" w:rsidRPr="00DE59B9" w14:paraId="4659B552" w14:textId="77777777" w:rsidTr="00066D6D">
        <w:trPr>
          <w:trHeight w:val="377"/>
        </w:trPr>
        <w:tc>
          <w:tcPr>
            <w:tcW w:w="3119" w:type="dxa"/>
            <w:shd w:val="clear" w:color="auto" w:fill="F2F2F2"/>
          </w:tcPr>
          <w:p w14:paraId="3F8E9B4E" w14:textId="77777777" w:rsidR="00DE59B9" w:rsidRPr="00DE59B9" w:rsidRDefault="00DE59B9" w:rsidP="00BB376F">
            <w:pPr>
              <w:jc w:val="both"/>
              <w:rPr>
                <w:rFonts w:ascii="Garamond" w:hAnsi="Garamond"/>
                <w:b/>
                <w:sz w:val="18"/>
                <w:szCs w:val="18"/>
              </w:rPr>
            </w:pPr>
            <w:r w:rsidRPr="00DE59B9">
              <w:rPr>
                <w:rFonts w:ascii="Garamond" w:hAnsi="Garamond"/>
                <w:b/>
                <w:sz w:val="18"/>
                <w:szCs w:val="18"/>
              </w:rPr>
              <w:t>Oceniany parametr</w:t>
            </w:r>
          </w:p>
        </w:tc>
        <w:tc>
          <w:tcPr>
            <w:tcW w:w="1162" w:type="dxa"/>
            <w:shd w:val="clear" w:color="auto" w:fill="F2F2F2"/>
          </w:tcPr>
          <w:p w14:paraId="5CE8C697" w14:textId="77777777" w:rsidR="00DE59B9" w:rsidRPr="00DE59B9" w:rsidRDefault="00DE59B9" w:rsidP="00BB376F">
            <w:pPr>
              <w:jc w:val="both"/>
              <w:rPr>
                <w:rFonts w:ascii="Garamond" w:hAnsi="Garamond"/>
                <w:b/>
                <w:sz w:val="18"/>
                <w:szCs w:val="18"/>
              </w:rPr>
            </w:pPr>
            <w:r w:rsidRPr="00DE59B9">
              <w:rPr>
                <w:rFonts w:ascii="Garamond" w:hAnsi="Garamond"/>
                <w:b/>
                <w:sz w:val="18"/>
                <w:szCs w:val="18"/>
              </w:rPr>
              <w:t xml:space="preserve">Skala pkt. </w:t>
            </w:r>
          </w:p>
        </w:tc>
        <w:tc>
          <w:tcPr>
            <w:tcW w:w="4082" w:type="dxa"/>
            <w:shd w:val="clear" w:color="auto" w:fill="F2F2F2"/>
          </w:tcPr>
          <w:p w14:paraId="69178517" w14:textId="77777777" w:rsidR="00DE59B9" w:rsidRPr="00DE59B9" w:rsidRDefault="00DE59B9" w:rsidP="00BB376F">
            <w:pPr>
              <w:jc w:val="both"/>
              <w:rPr>
                <w:rFonts w:ascii="Garamond" w:hAnsi="Garamond"/>
                <w:b/>
                <w:sz w:val="18"/>
                <w:szCs w:val="18"/>
              </w:rPr>
            </w:pPr>
            <w:r w:rsidRPr="00DE59B9">
              <w:rPr>
                <w:rFonts w:ascii="Garamond" w:hAnsi="Garamond"/>
                <w:b/>
                <w:sz w:val="18"/>
                <w:szCs w:val="18"/>
              </w:rPr>
              <w:t>Opis sposobu oceny</w:t>
            </w:r>
          </w:p>
        </w:tc>
      </w:tr>
      <w:tr w:rsidR="00DE59B9" w:rsidRPr="00DE59B9" w14:paraId="634E8734" w14:textId="77777777" w:rsidTr="00066D6D">
        <w:trPr>
          <w:trHeight w:val="885"/>
        </w:trPr>
        <w:tc>
          <w:tcPr>
            <w:tcW w:w="3119" w:type="dxa"/>
            <w:tcBorders>
              <w:top w:val="single" w:sz="4" w:space="0" w:color="auto"/>
              <w:left w:val="single" w:sz="4" w:space="0" w:color="auto"/>
              <w:bottom w:val="single" w:sz="4" w:space="0" w:color="auto"/>
              <w:right w:val="single" w:sz="4" w:space="0" w:color="auto"/>
            </w:tcBorders>
          </w:tcPr>
          <w:p w14:paraId="7A8DEF31"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Wodoszczelność, bariera dla płynów</w:t>
            </w:r>
          </w:p>
        </w:tc>
        <w:tc>
          <w:tcPr>
            <w:tcW w:w="1162" w:type="dxa"/>
            <w:tcBorders>
              <w:top w:val="single" w:sz="4" w:space="0" w:color="auto"/>
              <w:left w:val="single" w:sz="4" w:space="0" w:color="auto"/>
              <w:bottom w:val="single" w:sz="4" w:space="0" w:color="auto"/>
              <w:right w:val="single" w:sz="4" w:space="0" w:color="auto"/>
            </w:tcBorders>
          </w:tcPr>
          <w:p w14:paraId="321E13ED"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0-20 pkt</w:t>
            </w:r>
          </w:p>
        </w:tc>
        <w:tc>
          <w:tcPr>
            <w:tcW w:w="4082" w:type="dxa"/>
            <w:tcBorders>
              <w:top w:val="single" w:sz="4" w:space="0" w:color="auto"/>
              <w:left w:val="single" w:sz="4" w:space="0" w:color="auto"/>
              <w:bottom w:val="single" w:sz="4" w:space="0" w:color="auto"/>
              <w:right w:val="single" w:sz="4" w:space="0" w:color="auto"/>
            </w:tcBorders>
          </w:tcPr>
          <w:p w14:paraId="46EF3EF1"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Maksymalną liczbę punktów otrzymają wyroby nie przepuszczające płynów. Pozostałe wyroby otrzymają proporcjonalnie mniej punktów w stosunku do wyrobu najwyżej ocenionego.</w:t>
            </w:r>
          </w:p>
        </w:tc>
      </w:tr>
      <w:tr w:rsidR="00DE59B9" w:rsidRPr="00DE59B9" w14:paraId="6AAA1EAD" w14:textId="77777777" w:rsidTr="00066D6D">
        <w:tc>
          <w:tcPr>
            <w:tcW w:w="3119" w:type="dxa"/>
            <w:tcBorders>
              <w:top w:val="single" w:sz="4" w:space="0" w:color="auto"/>
              <w:left w:val="single" w:sz="4" w:space="0" w:color="auto"/>
              <w:bottom w:val="single" w:sz="4" w:space="0" w:color="auto"/>
              <w:right w:val="single" w:sz="4" w:space="0" w:color="auto"/>
            </w:tcBorders>
          </w:tcPr>
          <w:p w14:paraId="56A5C60F" w14:textId="77777777" w:rsidR="00DE59B9" w:rsidRPr="00DE59B9" w:rsidRDefault="00DE59B9" w:rsidP="00BB376F">
            <w:pPr>
              <w:jc w:val="both"/>
              <w:rPr>
                <w:rFonts w:ascii="Garamond" w:hAnsi="Garamond" w:cs="Calibri"/>
                <w:sz w:val="18"/>
                <w:szCs w:val="18"/>
              </w:rPr>
            </w:pPr>
            <w:proofErr w:type="spellStart"/>
            <w:r w:rsidRPr="00DE59B9">
              <w:rPr>
                <w:rFonts w:ascii="Garamond" w:hAnsi="Garamond" w:cs="Calibri"/>
                <w:sz w:val="18"/>
                <w:szCs w:val="18"/>
              </w:rPr>
              <w:t>Wchłanialność</w:t>
            </w:r>
            <w:proofErr w:type="spellEnd"/>
            <w:r w:rsidRPr="00DE59B9">
              <w:rPr>
                <w:rFonts w:ascii="Garamond" w:hAnsi="Garamond" w:cs="Calibri"/>
                <w:sz w:val="18"/>
                <w:szCs w:val="18"/>
              </w:rPr>
              <w:t xml:space="preserve"> warstwy absorpcyjnej</w:t>
            </w:r>
          </w:p>
        </w:tc>
        <w:tc>
          <w:tcPr>
            <w:tcW w:w="1162" w:type="dxa"/>
            <w:tcBorders>
              <w:top w:val="single" w:sz="4" w:space="0" w:color="auto"/>
              <w:left w:val="single" w:sz="4" w:space="0" w:color="auto"/>
              <w:bottom w:val="single" w:sz="4" w:space="0" w:color="auto"/>
              <w:right w:val="single" w:sz="4" w:space="0" w:color="auto"/>
            </w:tcBorders>
          </w:tcPr>
          <w:p w14:paraId="30AC0411"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0-20 pkt</w:t>
            </w:r>
          </w:p>
        </w:tc>
        <w:tc>
          <w:tcPr>
            <w:tcW w:w="4082" w:type="dxa"/>
            <w:tcBorders>
              <w:top w:val="single" w:sz="4" w:space="0" w:color="auto"/>
              <w:left w:val="single" w:sz="4" w:space="0" w:color="auto"/>
              <w:bottom w:val="single" w:sz="4" w:space="0" w:color="auto"/>
              <w:right w:val="single" w:sz="4" w:space="0" w:color="auto"/>
            </w:tcBorders>
          </w:tcPr>
          <w:p w14:paraId="5224D91D"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 xml:space="preserve">Maksymalną liczbę punktów otrzymają wyroby posiadające największą </w:t>
            </w:r>
            <w:proofErr w:type="spellStart"/>
            <w:r w:rsidRPr="00DE59B9">
              <w:rPr>
                <w:rFonts w:ascii="Garamond" w:hAnsi="Garamond" w:cs="Calibri"/>
                <w:sz w:val="18"/>
                <w:szCs w:val="18"/>
              </w:rPr>
              <w:t>wchłanialność</w:t>
            </w:r>
            <w:proofErr w:type="spellEnd"/>
            <w:r w:rsidRPr="00DE59B9">
              <w:rPr>
                <w:rFonts w:ascii="Garamond" w:hAnsi="Garamond" w:cs="Calibri"/>
                <w:sz w:val="18"/>
                <w:szCs w:val="18"/>
              </w:rPr>
              <w:t xml:space="preserve"> warstwy absorpcyjnej. Pozostałe wyroby otrzymają proporcjonalnie mniej punktów w stosunku do wyrobu </w:t>
            </w:r>
            <w:r w:rsidRPr="00DE59B9">
              <w:rPr>
                <w:rFonts w:ascii="Garamond" w:hAnsi="Garamond" w:cs="Calibri"/>
                <w:sz w:val="18"/>
                <w:szCs w:val="18"/>
              </w:rPr>
              <w:lastRenderedPageBreak/>
              <w:t xml:space="preserve">najwyżej ocenionego. </w:t>
            </w:r>
          </w:p>
        </w:tc>
      </w:tr>
      <w:tr w:rsidR="00DE59B9" w:rsidRPr="00DE59B9" w14:paraId="478197E8" w14:textId="77777777" w:rsidTr="00066D6D">
        <w:tc>
          <w:tcPr>
            <w:tcW w:w="3119" w:type="dxa"/>
            <w:tcBorders>
              <w:top w:val="single" w:sz="4" w:space="0" w:color="auto"/>
              <w:left w:val="single" w:sz="4" w:space="0" w:color="auto"/>
              <w:bottom w:val="single" w:sz="4" w:space="0" w:color="auto"/>
              <w:right w:val="single" w:sz="4" w:space="0" w:color="auto"/>
            </w:tcBorders>
          </w:tcPr>
          <w:p w14:paraId="1B67B754"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lastRenderedPageBreak/>
              <w:t xml:space="preserve">Wytrzymałość na uszkodzenia mechaniczne    </w:t>
            </w:r>
          </w:p>
        </w:tc>
        <w:tc>
          <w:tcPr>
            <w:tcW w:w="1162" w:type="dxa"/>
            <w:tcBorders>
              <w:top w:val="single" w:sz="4" w:space="0" w:color="auto"/>
              <w:left w:val="single" w:sz="4" w:space="0" w:color="auto"/>
              <w:bottom w:val="single" w:sz="4" w:space="0" w:color="auto"/>
              <w:right w:val="single" w:sz="4" w:space="0" w:color="auto"/>
            </w:tcBorders>
          </w:tcPr>
          <w:p w14:paraId="74F0DB3E"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0-20 pkt</w:t>
            </w:r>
          </w:p>
        </w:tc>
        <w:tc>
          <w:tcPr>
            <w:tcW w:w="4082" w:type="dxa"/>
            <w:tcBorders>
              <w:top w:val="single" w:sz="4" w:space="0" w:color="auto"/>
              <w:left w:val="single" w:sz="4" w:space="0" w:color="auto"/>
              <w:bottom w:val="single" w:sz="4" w:space="0" w:color="auto"/>
              <w:right w:val="single" w:sz="4" w:space="0" w:color="auto"/>
            </w:tcBorders>
          </w:tcPr>
          <w:p w14:paraId="5717CF89"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 xml:space="preserve">Maksymalną liczbę punktów otrzymają wyroby najbardziej odporne na uszkodzenia mechaniczne. Pozostałe wyroby otrzymają proporcjonalnie mniej punktów w stosunku do wyrobu najwyżej ocenionego. </w:t>
            </w:r>
          </w:p>
        </w:tc>
      </w:tr>
      <w:tr w:rsidR="00DE59B9" w:rsidRPr="00DE59B9" w14:paraId="490E6A4B" w14:textId="77777777" w:rsidTr="00066D6D">
        <w:tc>
          <w:tcPr>
            <w:tcW w:w="3119" w:type="dxa"/>
            <w:tcBorders>
              <w:top w:val="single" w:sz="4" w:space="0" w:color="auto"/>
              <w:left w:val="single" w:sz="4" w:space="0" w:color="auto"/>
              <w:bottom w:val="single" w:sz="4" w:space="0" w:color="auto"/>
              <w:right w:val="single" w:sz="4" w:space="0" w:color="auto"/>
            </w:tcBorders>
          </w:tcPr>
          <w:p w14:paraId="51AD70A7" w14:textId="77777777" w:rsidR="00DE59B9" w:rsidRPr="00DE59B9" w:rsidRDefault="00DE59B9" w:rsidP="00BB376F">
            <w:pPr>
              <w:jc w:val="both"/>
              <w:rPr>
                <w:rFonts w:ascii="Garamond" w:hAnsi="Garamond" w:cs="Calibri"/>
                <w:sz w:val="18"/>
                <w:szCs w:val="18"/>
              </w:rPr>
            </w:pPr>
            <w:proofErr w:type="spellStart"/>
            <w:r w:rsidRPr="00DE59B9">
              <w:rPr>
                <w:rFonts w:ascii="Garamond" w:hAnsi="Garamond" w:cs="Calibri"/>
                <w:sz w:val="18"/>
                <w:szCs w:val="18"/>
              </w:rPr>
              <w:t>Paroprzepuszczalność</w:t>
            </w:r>
            <w:proofErr w:type="spellEnd"/>
            <w:r w:rsidRPr="00DE59B9">
              <w:rPr>
                <w:rFonts w:ascii="Garamond" w:hAnsi="Garamond" w:cs="Calibri"/>
                <w:sz w:val="18"/>
                <w:szCs w:val="18"/>
              </w:rPr>
              <w:t xml:space="preserve"> i hipoalergiczność</w:t>
            </w:r>
          </w:p>
        </w:tc>
        <w:tc>
          <w:tcPr>
            <w:tcW w:w="1162" w:type="dxa"/>
            <w:tcBorders>
              <w:top w:val="single" w:sz="4" w:space="0" w:color="auto"/>
              <w:left w:val="single" w:sz="4" w:space="0" w:color="auto"/>
              <w:bottom w:val="single" w:sz="4" w:space="0" w:color="auto"/>
              <w:right w:val="single" w:sz="4" w:space="0" w:color="auto"/>
            </w:tcBorders>
          </w:tcPr>
          <w:p w14:paraId="05C79A8D"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0-20 pkt</w:t>
            </w:r>
          </w:p>
        </w:tc>
        <w:tc>
          <w:tcPr>
            <w:tcW w:w="4082" w:type="dxa"/>
            <w:tcBorders>
              <w:top w:val="single" w:sz="4" w:space="0" w:color="auto"/>
              <w:left w:val="single" w:sz="4" w:space="0" w:color="auto"/>
              <w:bottom w:val="single" w:sz="4" w:space="0" w:color="auto"/>
              <w:right w:val="single" w:sz="4" w:space="0" w:color="auto"/>
            </w:tcBorders>
          </w:tcPr>
          <w:p w14:paraId="5580CB91"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 xml:space="preserve">Maksymalną liczbę punktów otrzymają wyroby nie powodujące podrażnień i uczuleń.  Pozostałe wyroby otrzymają proporcjonalnie mniej punktów w stosunku do wyrobu najwyżej ocenionego. </w:t>
            </w:r>
          </w:p>
        </w:tc>
      </w:tr>
      <w:tr w:rsidR="00DE59B9" w:rsidRPr="00DE59B9" w14:paraId="7A2059A3" w14:textId="77777777" w:rsidTr="00066D6D">
        <w:tc>
          <w:tcPr>
            <w:tcW w:w="3119" w:type="dxa"/>
            <w:tcBorders>
              <w:top w:val="single" w:sz="4" w:space="0" w:color="auto"/>
              <w:left w:val="single" w:sz="4" w:space="0" w:color="auto"/>
              <w:bottom w:val="single" w:sz="4" w:space="0" w:color="auto"/>
              <w:right w:val="single" w:sz="4" w:space="0" w:color="auto"/>
            </w:tcBorders>
          </w:tcPr>
          <w:p w14:paraId="4910994F"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Sposób pakowania</w:t>
            </w:r>
          </w:p>
        </w:tc>
        <w:tc>
          <w:tcPr>
            <w:tcW w:w="1162" w:type="dxa"/>
            <w:tcBorders>
              <w:top w:val="single" w:sz="4" w:space="0" w:color="auto"/>
              <w:left w:val="single" w:sz="4" w:space="0" w:color="auto"/>
              <w:bottom w:val="single" w:sz="4" w:space="0" w:color="auto"/>
              <w:right w:val="single" w:sz="4" w:space="0" w:color="auto"/>
            </w:tcBorders>
          </w:tcPr>
          <w:p w14:paraId="1CD65247"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0-20 pkt</w:t>
            </w:r>
          </w:p>
        </w:tc>
        <w:tc>
          <w:tcPr>
            <w:tcW w:w="4082" w:type="dxa"/>
            <w:tcBorders>
              <w:top w:val="single" w:sz="4" w:space="0" w:color="auto"/>
              <w:left w:val="single" w:sz="4" w:space="0" w:color="auto"/>
              <w:bottom w:val="single" w:sz="4" w:space="0" w:color="auto"/>
              <w:right w:val="single" w:sz="4" w:space="0" w:color="auto"/>
            </w:tcBorders>
          </w:tcPr>
          <w:p w14:paraId="651F3AD1" w14:textId="77777777" w:rsidR="00DE59B9" w:rsidRPr="00DE59B9" w:rsidRDefault="00DE59B9" w:rsidP="00BB376F">
            <w:pPr>
              <w:jc w:val="both"/>
              <w:rPr>
                <w:rFonts w:ascii="Garamond" w:hAnsi="Garamond" w:cs="Calibri"/>
                <w:sz w:val="18"/>
                <w:szCs w:val="18"/>
              </w:rPr>
            </w:pPr>
            <w:r w:rsidRPr="00DE59B9">
              <w:rPr>
                <w:rFonts w:ascii="Garamond" w:hAnsi="Garamond" w:cs="Calibri"/>
                <w:sz w:val="18"/>
                <w:szCs w:val="18"/>
              </w:rPr>
              <w:t xml:space="preserve">Maksymalną liczbę punktów otrzymają wyroby, które podczas rozpakowania dają możliwość zachowania zasad aseptyki. Pozostałe wyroby otrzymają proporcjonalnie mniej punktów w stosunku do wyrobu najwyżej ocenionego. </w:t>
            </w:r>
          </w:p>
        </w:tc>
      </w:tr>
    </w:tbl>
    <w:p w14:paraId="4FA74278" w14:textId="76FD43E2" w:rsidR="00246A4C" w:rsidRDefault="00DE59B9" w:rsidP="00BB376F">
      <w:pPr>
        <w:pStyle w:val="Akapitzlist"/>
        <w:ind w:left="426"/>
        <w:jc w:val="both"/>
        <w:rPr>
          <w:rFonts w:ascii="Garamond" w:eastAsia="Times New Roman" w:hAnsi="Garamond"/>
          <w:lang w:eastAsia="pl-PL"/>
        </w:rPr>
      </w:pPr>
      <w:r w:rsidRPr="00FA2B87">
        <w:rPr>
          <w:rFonts w:ascii="Garamond" w:eastAsia="Times New Roman" w:hAnsi="Garamond"/>
          <w:i/>
          <w:lang w:eastAsia="pl-PL"/>
        </w:rPr>
        <w:t xml:space="preserve"> </w:t>
      </w:r>
      <w:r>
        <w:rPr>
          <w:rFonts w:ascii="Garamond" w:eastAsia="Times New Roman" w:hAnsi="Garamond"/>
          <w:lang w:eastAsia="pl-PL"/>
        </w:rPr>
        <w:t xml:space="preserve"> </w:t>
      </w:r>
      <w:r w:rsidR="00B84730">
        <w:rPr>
          <w:rFonts w:ascii="Garamond" w:eastAsia="Times New Roman" w:hAnsi="Garamond"/>
          <w:lang w:eastAsia="pl-PL"/>
        </w:rPr>
        <w:t xml:space="preserve"> </w:t>
      </w:r>
    </w:p>
    <w:p w14:paraId="23E329D1" w14:textId="7344111F" w:rsidR="00FC46BC" w:rsidRDefault="00FC46BC" w:rsidP="00BB376F">
      <w:pPr>
        <w:pStyle w:val="Akapitzlist"/>
        <w:ind w:left="426"/>
        <w:jc w:val="both"/>
        <w:rPr>
          <w:rFonts w:ascii="Garamond" w:eastAsia="Times New Roman" w:hAnsi="Garamond"/>
          <w:lang w:eastAsia="pl-PL"/>
        </w:rPr>
      </w:pPr>
      <w:r>
        <w:rPr>
          <w:rFonts w:ascii="Garamond" w:eastAsia="Times New Roman" w:hAnsi="Garamond"/>
          <w:lang w:eastAsia="pl-PL"/>
        </w:rPr>
        <w:t>Zamawiający w przedmiotowym postępowaniu jako kryterium oceny ofert ustalił : Cena – waga: 60% oraz Jakość – waga:</w:t>
      </w:r>
      <w:r w:rsidR="00F901E7">
        <w:rPr>
          <w:rFonts w:ascii="Garamond" w:eastAsia="Times New Roman" w:hAnsi="Garamond"/>
          <w:lang w:eastAsia="pl-PL"/>
        </w:rPr>
        <w:t xml:space="preserve"> </w:t>
      </w:r>
      <w:r>
        <w:rPr>
          <w:rFonts w:ascii="Garamond" w:eastAsia="Times New Roman" w:hAnsi="Garamond"/>
          <w:lang w:eastAsia="pl-PL"/>
        </w:rPr>
        <w:t xml:space="preserve">40%. Opisując kryterium „Jakość” </w:t>
      </w:r>
      <w:r w:rsidR="007B2E36">
        <w:rPr>
          <w:rFonts w:ascii="Garamond" w:eastAsia="Times New Roman" w:hAnsi="Garamond"/>
          <w:lang w:eastAsia="pl-PL"/>
        </w:rPr>
        <w:t>przedstawił</w:t>
      </w:r>
      <w:r>
        <w:rPr>
          <w:rFonts w:ascii="Garamond" w:eastAsia="Times New Roman" w:hAnsi="Garamond"/>
          <w:lang w:eastAsia="pl-PL"/>
        </w:rPr>
        <w:t xml:space="preserve"> wyżej wymienione parametry </w:t>
      </w:r>
      <w:r w:rsidR="00BE629E">
        <w:rPr>
          <w:rFonts w:ascii="Garamond" w:eastAsia="Times New Roman" w:hAnsi="Garamond"/>
          <w:lang w:eastAsia="pl-PL"/>
        </w:rPr>
        <w:br/>
      </w:r>
      <w:r>
        <w:rPr>
          <w:rFonts w:ascii="Garamond" w:eastAsia="Times New Roman" w:hAnsi="Garamond"/>
          <w:lang w:eastAsia="pl-PL"/>
        </w:rPr>
        <w:t>w oparciu o które dokona oceny poszczególnych wyrobów. Zamawiający we wskazanym kryterium nie zawarł szczegółowych zasad jakimi będzie się kierował przyznając punkty w poszczególnych parametrach</w:t>
      </w:r>
      <w:r w:rsidR="00F901E7">
        <w:rPr>
          <w:rFonts w:ascii="Garamond" w:eastAsia="Times New Roman" w:hAnsi="Garamond"/>
          <w:lang w:eastAsia="pl-PL"/>
        </w:rPr>
        <w:t>.  D</w:t>
      </w:r>
      <w:r>
        <w:rPr>
          <w:rFonts w:ascii="Garamond" w:eastAsia="Times New Roman" w:hAnsi="Garamond"/>
          <w:lang w:eastAsia="pl-PL"/>
        </w:rPr>
        <w:t xml:space="preserve">la przykładu: </w:t>
      </w:r>
    </w:p>
    <w:p w14:paraId="2BC93A3A" w14:textId="71617D6B" w:rsidR="00FC46BC" w:rsidRPr="00F901E7" w:rsidRDefault="00F901E7" w:rsidP="00BB376F">
      <w:pPr>
        <w:pStyle w:val="Akapitzlist"/>
        <w:ind w:left="426"/>
        <w:jc w:val="both"/>
        <w:rPr>
          <w:rFonts w:ascii="Garamond" w:eastAsia="Times New Roman" w:hAnsi="Garamond"/>
          <w:u w:val="single"/>
          <w:lang w:eastAsia="pl-PL"/>
        </w:rPr>
      </w:pPr>
      <w:r>
        <w:rPr>
          <w:rFonts w:ascii="Garamond" w:eastAsia="Times New Roman" w:hAnsi="Garamond"/>
          <w:u w:val="single"/>
          <w:lang w:eastAsia="pl-PL"/>
        </w:rPr>
        <w:t xml:space="preserve">a) </w:t>
      </w:r>
      <w:proofErr w:type="spellStart"/>
      <w:r w:rsidRPr="00F901E7">
        <w:rPr>
          <w:rFonts w:ascii="Garamond" w:eastAsia="Times New Roman" w:hAnsi="Garamond"/>
          <w:u w:val="single"/>
          <w:lang w:eastAsia="pl-PL"/>
        </w:rPr>
        <w:t>Wchłanialność</w:t>
      </w:r>
      <w:proofErr w:type="spellEnd"/>
      <w:r w:rsidR="00FC46BC" w:rsidRPr="00F901E7">
        <w:rPr>
          <w:rFonts w:ascii="Garamond" w:eastAsia="Times New Roman" w:hAnsi="Garamond"/>
          <w:u w:val="single"/>
          <w:lang w:eastAsia="pl-PL"/>
        </w:rPr>
        <w:t xml:space="preserve"> warstwy absorpcyjnej:</w:t>
      </w:r>
    </w:p>
    <w:p w14:paraId="7A54CDC5" w14:textId="571456EF" w:rsidR="00FC46BC" w:rsidRDefault="00F901E7" w:rsidP="00BB376F">
      <w:pPr>
        <w:pStyle w:val="Akapitzlist"/>
        <w:ind w:left="426"/>
        <w:jc w:val="both"/>
        <w:rPr>
          <w:rFonts w:ascii="Garamond" w:eastAsia="Times New Roman" w:hAnsi="Garamond"/>
          <w:lang w:eastAsia="pl-PL"/>
        </w:rPr>
      </w:pPr>
      <w:r>
        <w:rPr>
          <w:rFonts w:ascii="Garamond" w:eastAsia="Times New Roman" w:hAnsi="Garamond"/>
          <w:lang w:eastAsia="pl-PL"/>
        </w:rPr>
        <w:t xml:space="preserve">- maksymalna </w:t>
      </w:r>
      <w:proofErr w:type="spellStart"/>
      <w:r>
        <w:rPr>
          <w:rFonts w:ascii="Garamond" w:eastAsia="Times New Roman" w:hAnsi="Garamond"/>
          <w:lang w:eastAsia="pl-PL"/>
        </w:rPr>
        <w:t>wchłanial</w:t>
      </w:r>
      <w:r w:rsidR="00B2735D">
        <w:rPr>
          <w:rFonts w:ascii="Garamond" w:eastAsia="Times New Roman" w:hAnsi="Garamond"/>
          <w:lang w:eastAsia="pl-PL"/>
        </w:rPr>
        <w:t>ość</w:t>
      </w:r>
      <w:proofErr w:type="spellEnd"/>
      <w:r w:rsidR="00FC46BC">
        <w:rPr>
          <w:rFonts w:ascii="Garamond" w:eastAsia="Times New Roman" w:hAnsi="Garamond"/>
          <w:lang w:eastAsia="pl-PL"/>
        </w:rPr>
        <w:t xml:space="preserve"> – 20</w:t>
      </w:r>
      <w:r>
        <w:rPr>
          <w:rFonts w:ascii="Garamond" w:eastAsia="Times New Roman" w:hAnsi="Garamond"/>
          <w:lang w:eastAsia="pl-PL"/>
        </w:rPr>
        <w:t>,00</w:t>
      </w:r>
      <w:r w:rsidR="00FC46BC">
        <w:rPr>
          <w:rFonts w:ascii="Garamond" w:eastAsia="Times New Roman" w:hAnsi="Garamond"/>
          <w:lang w:eastAsia="pl-PL"/>
        </w:rPr>
        <w:t xml:space="preserve"> pkt;</w:t>
      </w:r>
    </w:p>
    <w:p w14:paraId="7F91CC8E" w14:textId="33FAB7A8" w:rsidR="00F901E7" w:rsidRDefault="00FC46BC" w:rsidP="00BB376F">
      <w:pPr>
        <w:pStyle w:val="Akapitzlist"/>
        <w:ind w:left="426"/>
        <w:jc w:val="both"/>
        <w:rPr>
          <w:rFonts w:ascii="Garamond" w:eastAsia="Times New Roman" w:hAnsi="Garamond"/>
          <w:lang w:eastAsia="pl-PL"/>
        </w:rPr>
      </w:pPr>
      <w:r>
        <w:rPr>
          <w:rFonts w:ascii="Garamond" w:eastAsia="Times New Roman" w:hAnsi="Garamond"/>
          <w:lang w:eastAsia="pl-PL"/>
        </w:rPr>
        <w:t xml:space="preserve">- </w:t>
      </w:r>
      <w:proofErr w:type="spellStart"/>
      <w:r w:rsidR="00B2735D">
        <w:rPr>
          <w:rFonts w:ascii="Garamond" w:eastAsia="Times New Roman" w:hAnsi="Garamond"/>
          <w:lang w:eastAsia="pl-PL"/>
        </w:rPr>
        <w:t>wchłanialność</w:t>
      </w:r>
      <w:proofErr w:type="spellEnd"/>
      <w:r w:rsidR="00F901E7">
        <w:rPr>
          <w:rFonts w:ascii="Garamond" w:eastAsia="Times New Roman" w:hAnsi="Garamond"/>
          <w:lang w:eastAsia="pl-PL"/>
        </w:rPr>
        <w:t xml:space="preserve"> do np. 70% - 19,00- 11,00 pkt.;</w:t>
      </w:r>
    </w:p>
    <w:p w14:paraId="6D223381" w14:textId="0276683F" w:rsidR="00FC46BC" w:rsidRDefault="00F901E7" w:rsidP="00BB376F">
      <w:pPr>
        <w:pStyle w:val="Akapitzlist"/>
        <w:ind w:left="426"/>
        <w:jc w:val="both"/>
        <w:rPr>
          <w:rFonts w:ascii="Garamond" w:eastAsia="Times New Roman" w:hAnsi="Garamond"/>
          <w:lang w:eastAsia="pl-PL"/>
        </w:rPr>
      </w:pPr>
      <w:r>
        <w:rPr>
          <w:rFonts w:ascii="Garamond" w:eastAsia="Times New Roman" w:hAnsi="Garamond"/>
          <w:lang w:eastAsia="pl-PL"/>
        </w:rPr>
        <w:t xml:space="preserve">- </w:t>
      </w:r>
      <w:proofErr w:type="spellStart"/>
      <w:r w:rsidR="00B2735D">
        <w:rPr>
          <w:rFonts w:ascii="Garamond" w:eastAsia="Times New Roman" w:hAnsi="Garamond"/>
          <w:lang w:eastAsia="pl-PL"/>
        </w:rPr>
        <w:t>wchłanialność</w:t>
      </w:r>
      <w:proofErr w:type="spellEnd"/>
      <w:r>
        <w:rPr>
          <w:rFonts w:ascii="Garamond" w:eastAsia="Times New Roman" w:hAnsi="Garamond"/>
          <w:lang w:eastAsia="pl-PL"/>
        </w:rPr>
        <w:t xml:space="preserve"> do np. 50% - 10,00 pkt.;</w:t>
      </w:r>
    </w:p>
    <w:p w14:paraId="3DD28C6D" w14:textId="4A57BE9E" w:rsidR="00F901E7" w:rsidRPr="009B7944" w:rsidRDefault="00F901E7" w:rsidP="009B7944">
      <w:pPr>
        <w:pStyle w:val="Akapitzlist"/>
        <w:ind w:left="426"/>
        <w:jc w:val="both"/>
        <w:rPr>
          <w:rFonts w:ascii="Garamond" w:eastAsia="Times New Roman" w:hAnsi="Garamond"/>
          <w:lang w:eastAsia="pl-PL"/>
        </w:rPr>
      </w:pPr>
      <w:r>
        <w:rPr>
          <w:rFonts w:ascii="Garamond" w:eastAsia="Times New Roman" w:hAnsi="Garamond"/>
          <w:lang w:eastAsia="pl-PL"/>
        </w:rPr>
        <w:t xml:space="preserve">- </w:t>
      </w:r>
      <w:proofErr w:type="spellStart"/>
      <w:r>
        <w:rPr>
          <w:rFonts w:ascii="Garamond" w:eastAsia="Times New Roman" w:hAnsi="Garamond"/>
          <w:lang w:eastAsia="pl-PL"/>
        </w:rPr>
        <w:t>wchłanialnosc</w:t>
      </w:r>
      <w:proofErr w:type="spellEnd"/>
      <w:r>
        <w:rPr>
          <w:rFonts w:ascii="Garamond" w:eastAsia="Times New Roman" w:hAnsi="Garamond"/>
          <w:lang w:eastAsia="pl-PL"/>
        </w:rPr>
        <w:t xml:space="preserve"> poniżej 50%- 9,00 – 0,00 pkt</w:t>
      </w:r>
    </w:p>
    <w:p w14:paraId="3A7BD9B1" w14:textId="52C539B7" w:rsidR="00C10722" w:rsidRDefault="009B7944" w:rsidP="00BB376F">
      <w:pPr>
        <w:pStyle w:val="Akapitzlist"/>
        <w:ind w:left="426"/>
        <w:jc w:val="both"/>
        <w:rPr>
          <w:rFonts w:ascii="Garamond" w:eastAsia="Times New Roman" w:hAnsi="Garamond"/>
          <w:lang w:eastAsia="pl-PL"/>
        </w:rPr>
      </w:pPr>
      <w:r>
        <w:rPr>
          <w:rFonts w:ascii="Garamond" w:eastAsia="Times New Roman" w:hAnsi="Garamond"/>
          <w:lang w:eastAsia="pl-PL"/>
        </w:rPr>
        <w:t>B</w:t>
      </w:r>
      <w:r w:rsidR="00C10722">
        <w:rPr>
          <w:rFonts w:ascii="Garamond" w:eastAsia="Times New Roman" w:hAnsi="Garamond"/>
          <w:lang w:eastAsia="pl-PL"/>
        </w:rPr>
        <w:t xml:space="preserve">rak </w:t>
      </w:r>
      <w:r w:rsidR="00F901E7">
        <w:rPr>
          <w:rFonts w:ascii="Garamond" w:eastAsia="Times New Roman" w:hAnsi="Garamond"/>
          <w:lang w:eastAsia="pl-PL"/>
        </w:rPr>
        <w:t xml:space="preserve">wskazanego </w:t>
      </w:r>
      <w:r w:rsidR="00E86264">
        <w:rPr>
          <w:rFonts w:ascii="Garamond" w:eastAsia="Times New Roman" w:hAnsi="Garamond"/>
          <w:lang w:eastAsia="pl-PL"/>
        </w:rPr>
        <w:t xml:space="preserve">sposobu przyznawania punktacji </w:t>
      </w:r>
      <w:r w:rsidR="00D45B15">
        <w:rPr>
          <w:rFonts w:ascii="Garamond" w:eastAsia="Times New Roman" w:hAnsi="Garamond"/>
          <w:lang w:eastAsia="pl-PL"/>
        </w:rPr>
        <w:t xml:space="preserve">tj. </w:t>
      </w:r>
      <w:r w:rsidR="00E86264">
        <w:rPr>
          <w:rFonts w:ascii="Garamond" w:eastAsia="Times New Roman" w:hAnsi="Garamond"/>
          <w:lang w:eastAsia="pl-PL"/>
        </w:rPr>
        <w:t xml:space="preserve">w </w:t>
      </w:r>
      <w:r w:rsidR="00D45B15">
        <w:rPr>
          <w:rFonts w:ascii="Garamond" w:eastAsia="Times New Roman" w:hAnsi="Garamond"/>
          <w:lang w:eastAsia="pl-PL"/>
        </w:rPr>
        <w:t>pkt a) i b)</w:t>
      </w:r>
      <w:r w:rsidR="00F901E7">
        <w:rPr>
          <w:rFonts w:ascii="Garamond" w:eastAsia="Times New Roman" w:hAnsi="Garamond"/>
          <w:lang w:eastAsia="pl-PL"/>
        </w:rPr>
        <w:t xml:space="preserve"> (</w:t>
      </w:r>
      <w:r w:rsidR="00E86264">
        <w:rPr>
          <w:rFonts w:ascii="Garamond" w:eastAsia="Times New Roman" w:hAnsi="Garamond"/>
          <w:lang w:eastAsia="pl-PL"/>
        </w:rPr>
        <w:t xml:space="preserve">zaprezentowany </w:t>
      </w:r>
      <w:r w:rsidR="00F901E7">
        <w:rPr>
          <w:rFonts w:ascii="Garamond" w:eastAsia="Times New Roman" w:hAnsi="Garamond"/>
          <w:lang w:eastAsia="pl-PL"/>
        </w:rPr>
        <w:t xml:space="preserve">dla przykładu </w:t>
      </w:r>
      <w:r w:rsidR="00BE629E">
        <w:rPr>
          <w:rFonts w:ascii="Garamond" w:eastAsia="Times New Roman" w:hAnsi="Garamond"/>
          <w:lang w:eastAsia="pl-PL"/>
        </w:rPr>
        <w:br/>
      </w:r>
      <w:r w:rsidR="00F901E7">
        <w:rPr>
          <w:rFonts w:ascii="Garamond" w:eastAsia="Times New Roman" w:hAnsi="Garamond"/>
          <w:lang w:eastAsia="pl-PL"/>
        </w:rPr>
        <w:t xml:space="preserve">i zobrazowania) - </w:t>
      </w:r>
      <w:r w:rsidR="00E86264">
        <w:rPr>
          <w:rFonts w:ascii="Garamond" w:eastAsia="Times New Roman" w:hAnsi="Garamond"/>
          <w:lang w:eastAsia="pl-PL"/>
        </w:rPr>
        <w:t>określającego sposób</w:t>
      </w:r>
      <w:r w:rsidR="00F901E7">
        <w:rPr>
          <w:rFonts w:ascii="Garamond" w:eastAsia="Times New Roman" w:hAnsi="Garamond"/>
          <w:lang w:eastAsia="pl-PL"/>
        </w:rPr>
        <w:t xml:space="preserve"> przyznawania punktacji </w:t>
      </w:r>
      <w:r w:rsidR="00477AE1">
        <w:rPr>
          <w:rFonts w:ascii="Garamond" w:eastAsia="Times New Roman" w:hAnsi="Garamond"/>
          <w:lang w:eastAsia="pl-PL"/>
        </w:rPr>
        <w:t xml:space="preserve">we wskazanych </w:t>
      </w:r>
      <w:r w:rsidR="00B2735D">
        <w:rPr>
          <w:rFonts w:ascii="Garamond" w:eastAsia="Times New Roman" w:hAnsi="Garamond"/>
          <w:lang w:eastAsia="pl-PL"/>
        </w:rPr>
        <w:t xml:space="preserve">parametrach </w:t>
      </w:r>
      <w:r w:rsidR="00F901E7">
        <w:rPr>
          <w:rFonts w:ascii="Garamond" w:eastAsia="Times New Roman" w:hAnsi="Garamond"/>
          <w:lang w:eastAsia="pl-PL"/>
        </w:rPr>
        <w:t>uniemożliwia Zamawiającemu przeprowadzenie</w:t>
      </w:r>
      <w:r w:rsidR="00B2735D">
        <w:rPr>
          <w:rFonts w:ascii="Garamond" w:eastAsia="Times New Roman" w:hAnsi="Garamond"/>
          <w:lang w:eastAsia="pl-PL"/>
        </w:rPr>
        <w:t xml:space="preserve"> </w:t>
      </w:r>
      <w:r w:rsidR="00C10722">
        <w:rPr>
          <w:rFonts w:ascii="Garamond" w:eastAsia="Times New Roman" w:hAnsi="Garamond"/>
          <w:lang w:eastAsia="pl-PL"/>
        </w:rPr>
        <w:t>należytej</w:t>
      </w:r>
      <w:r w:rsidR="00B2735D">
        <w:rPr>
          <w:rFonts w:ascii="Garamond" w:eastAsia="Times New Roman" w:hAnsi="Garamond"/>
          <w:lang w:eastAsia="pl-PL"/>
        </w:rPr>
        <w:t xml:space="preserve"> oraz ważnej i wiążącej oceny jakościowej próbek.</w:t>
      </w:r>
      <w:r w:rsidR="00477AE1">
        <w:rPr>
          <w:rFonts w:ascii="Garamond" w:eastAsia="Times New Roman" w:hAnsi="Garamond"/>
          <w:lang w:eastAsia="pl-PL"/>
        </w:rPr>
        <w:t xml:space="preserve"> </w:t>
      </w:r>
      <w:r w:rsidR="00D45B15">
        <w:rPr>
          <w:rFonts w:ascii="Garamond" w:eastAsia="Times New Roman" w:hAnsi="Garamond"/>
          <w:lang w:eastAsia="pl-PL"/>
        </w:rPr>
        <w:t xml:space="preserve">Zamawiający przyznaje również, że opisane kryterium „nie daje się ubrać w jakieś miary” przez co w dużej mierze opiera się na uznaniu i przez to jest nieostre oraz może prowadzić do nadużyć –zwłaszcza w postaci dowolności oceny.  </w:t>
      </w:r>
    </w:p>
    <w:p w14:paraId="4E644FB8" w14:textId="43571F2E" w:rsidR="007B2E36" w:rsidRDefault="00012BF5" w:rsidP="00BB376F">
      <w:pPr>
        <w:pStyle w:val="Akapitzlist"/>
        <w:ind w:left="426"/>
        <w:jc w:val="both"/>
        <w:rPr>
          <w:rFonts w:ascii="Garamond" w:eastAsia="Times New Roman" w:hAnsi="Garamond"/>
          <w:lang w:eastAsia="pl-PL"/>
        </w:rPr>
      </w:pPr>
      <w:r>
        <w:rPr>
          <w:rFonts w:ascii="Garamond" w:eastAsia="Times New Roman" w:hAnsi="Garamond"/>
          <w:lang w:eastAsia="pl-PL"/>
        </w:rPr>
        <w:t xml:space="preserve">Jak </w:t>
      </w:r>
      <w:r w:rsidR="00477AE1">
        <w:rPr>
          <w:rFonts w:ascii="Garamond" w:eastAsia="Times New Roman" w:hAnsi="Garamond"/>
          <w:lang w:eastAsia="pl-PL"/>
        </w:rPr>
        <w:t xml:space="preserve">Zamawiający </w:t>
      </w:r>
      <w:r>
        <w:rPr>
          <w:rFonts w:ascii="Garamond" w:eastAsia="Times New Roman" w:hAnsi="Garamond"/>
          <w:lang w:eastAsia="pl-PL"/>
        </w:rPr>
        <w:t>wspomniał</w:t>
      </w:r>
      <w:r w:rsidR="009B7944">
        <w:rPr>
          <w:rFonts w:ascii="Garamond" w:eastAsia="Times New Roman" w:hAnsi="Garamond"/>
          <w:lang w:eastAsia="pl-PL"/>
        </w:rPr>
        <w:t xml:space="preserve"> powyżej, istotną</w:t>
      </w:r>
      <w:r>
        <w:rPr>
          <w:rFonts w:ascii="Garamond" w:eastAsia="Times New Roman" w:hAnsi="Garamond"/>
          <w:lang w:eastAsia="pl-PL"/>
        </w:rPr>
        <w:t xml:space="preserve"> nieprawidłowością jest brak wskazania </w:t>
      </w:r>
      <w:r w:rsidR="00C10722">
        <w:rPr>
          <w:rFonts w:ascii="Garamond" w:eastAsia="Times New Roman" w:hAnsi="Garamond"/>
          <w:lang w:eastAsia="pl-PL"/>
        </w:rPr>
        <w:t>Wykonawcom</w:t>
      </w:r>
      <w:r w:rsidR="00477AE1">
        <w:rPr>
          <w:rFonts w:ascii="Garamond" w:eastAsia="Times New Roman" w:hAnsi="Garamond"/>
          <w:lang w:eastAsia="pl-PL"/>
        </w:rPr>
        <w:t xml:space="preserve"> </w:t>
      </w:r>
      <w:r w:rsidR="00C10722">
        <w:rPr>
          <w:rFonts w:ascii="Garamond" w:eastAsia="Times New Roman" w:hAnsi="Garamond"/>
          <w:lang w:eastAsia="pl-PL"/>
        </w:rPr>
        <w:t>okoliczności oraz warunków w jakich będą przeprowadzane testy próbek. Przedmiotowe</w:t>
      </w:r>
      <w:r w:rsidR="00477AE1">
        <w:rPr>
          <w:rFonts w:ascii="Garamond" w:eastAsia="Times New Roman" w:hAnsi="Garamond"/>
          <w:lang w:eastAsia="pl-PL"/>
        </w:rPr>
        <w:t xml:space="preserve"> próbki testowane </w:t>
      </w:r>
      <w:r w:rsidR="00C10722">
        <w:rPr>
          <w:rFonts w:ascii="Garamond" w:eastAsia="Times New Roman" w:hAnsi="Garamond"/>
          <w:lang w:eastAsia="pl-PL"/>
        </w:rPr>
        <w:t>miały być</w:t>
      </w:r>
      <w:r w:rsidR="00477AE1">
        <w:rPr>
          <w:rFonts w:ascii="Garamond" w:eastAsia="Times New Roman" w:hAnsi="Garamond"/>
          <w:lang w:eastAsia="pl-PL"/>
        </w:rPr>
        <w:t xml:space="preserve"> na salach operacyjnych</w:t>
      </w:r>
      <w:r w:rsidR="00C10722">
        <w:rPr>
          <w:rFonts w:ascii="Garamond" w:eastAsia="Times New Roman" w:hAnsi="Garamond"/>
          <w:lang w:eastAsia="pl-PL"/>
        </w:rPr>
        <w:t xml:space="preserve"> Szpitala Uniwersyteckiego</w:t>
      </w:r>
      <w:r w:rsidR="00477AE1">
        <w:rPr>
          <w:rFonts w:ascii="Garamond" w:eastAsia="Times New Roman" w:hAnsi="Garamond"/>
          <w:lang w:eastAsia="pl-PL"/>
        </w:rPr>
        <w:t xml:space="preserve"> podczas odbywających się zabiegów i operacji</w:t>
      </w:r>
      <w:r w:rsidR="00C10722">
        <w:rPr>
          <w:rFonts w:ascii="Garamond" w:eastAsia="Times New Roman" w:hAnsi="Garamond"/>
          <w:lang w:eastAsia="pl-PL"/>
        </w:rPr>
        <w:t>.</w:t>
      </w:r>
      <w:r w:rsidR="00CA0F17">
        <w:rPr>
          <w:rFonts w:ascii="Garamond" w:eastAsia="Times New Roman" w:hAnsi="Garamond"/>
          <w:color w:val="FF0000"/>
          <w:lang w:eastAsia="pl-PL"/>
        </w:rPr>
        <w:t>.</w:t>
      </w:r>
      <w:r w:rsidR="00503872">
        <w:rPr>
          <w:rFonts w:ascii="Garamond" w:eastAsia="Times New Roman" w:hAnsi="Garamond"/>
          <w:color w:val="FF0000"/>
          <w:lang w:eastAsia="pl-PL"/>
        </w:rPr>
        <w:t xml:space="preserve"> </w:t>
      </w:r>
      <w:r w:rsidR="007B2E36">
        <w:rPr>
          <w:rFonts w:ascii="Garamond" w:eastAsia="Times New Roman" w:hAnsi="Garamond"/>
          <w:lang w:eastAsia="pl-PL"/>
        </w:rPr>
        <w:t>Zasadność stanowiska Zamawiającego potwierdza</w:t>
      </w:r>
      <w:r w:rsidR="00CA0F17">
        <w:rPr>
          <w:rFonts w:ascii="Garamond" w:eastAsia="Times New Roman" w:hAnsi="Garamond"/>
          <w:lang w:eastAsia="pl-PL"/>
        </w:rPr>
        <w:t xml:space="preserve"> też</w:t>
      </w:r>
      <w:r w:rsidR="007B2E36">
        <w:rPr>
          <w:rFonts w:ascii="Garamond" w:eastAsia="Times New Roman" w:hAnsi="Garamond"/>
          <w:lang w:eastAsia="pl-PL"/>
        </w:rPr>
        <w:t xml:space="preserve"> </w:t>
      </w:r>
      <w:r w:rsidR="004B0CA9">
        <w:rPr>
          <w:rFonts w:ascii="Garamond" w:eastAsia="Times New Roman" w:hAnsi="Garamond"/>
          <w:lang w:eastAsia="pl-PL"/>
        </w:rPr>
        <w:t xml:space="preserve">wyrok Zespołu Arbitrów przy Urzędzie Zamówień Publicznych z dnia 13 marca 2007 UZP/ZO/0-226/07/ </w:t>
      </w:r>
      <w:r w:rsidR="004B0CA9" w:rsidRPr="004B0CA9">
        <w:rPr>
          <w:rFonts w:ascii="Garamond" w:eastAsia="Times New Roman" w:hAnsi="Garamond"/>
          <w:i/>
          <w:lang w:eastAsia="pl-PL"/>
        </w:rPr>
        <w:t>„(….)</w:t>
      </w:r>
      <w:r w:rsidR="004B0CA9">
        <w:rPr>
          <w:rFonts w:ascii="Garamond" w:eastAsia="Times New Roman" w:hAnsi="Garamond"/>
          <w:lang w:eastAsia="pl-PL"/>
        </w:rPr>
        <w:t xml:space="preserve"> </w:t>
      </w:r>
      <w:r w:rsidR="004B0CA9" w:rsidRPr="004B0CA9">
        <w:rPr>
          <w:rFonts w:ascii="Garamond" w:eastAsia="Times New Roman" w:hAnsi="Garamond"/>
          <w:i/>
          <w:lang w:eastAsia="pl-PL"/>
        </w:rPr>
        <w:t>Zamawiający chcąc dokonać testów próbek, winien w sposób precyzyjny wskazać zamiar przeprowadzenia badania próbek na okoliczność zgodności z cechami wynikającymi z opisu przedmiotu zamówienia. Winien precyzyjnie określić w jaki sposób, jaka metodą będzie weryfikowana próbka w odniesieniu do poszczególnych cech produktu zgodnie z opisem przedmiotu zamówienia(…)”</w:t>
      </w:r>
    </w:p>
    <w:p w14:paraId="2280F3B9" w14:textId="6F77D851" w:rsidR="007B2E36" w:rsidRDefault="00B2735D" w:rsidP="00BB376F">
      <w:pPr>
        <w:pStyle w:val="Akapitzlist"/>
        <w:ind w:left="426"/>
        <w:jc w:val="both"/>
        <w:rPr>
          <w:rFonts w:ascii="Garamond" w:eastAsia="Times New Roman" w:hAnsi="Garamond"/>
          <w:lang w:eastAsia="pl-PL"/>
        </w:rPr>
      </w:pPr>
      <w:r>
        <w:rPr>
          <w:rFonts w:ascii="Garamond" w:eastAsia="Times New Roman" w:hAnsi="Garamond"/>
          <w:lang w:eastAsia="pl-PL"/>
        </w:rPr>
        <w:t>Zamawiający wsk</w:t>
      </w:r>
      <w:r w:rsidR="00477AE1">
        <w:rPr>
          <w:rFonts w:ascii="Garamond" w:eastAsia="Times New Roman" w:hAnsi="Garamond"/>
          <w:lang w:eastAsia="pl-PL"/>
        </w:rPr>
        <w:t>azuje, ż</w:t>
      </w:r>
      <w:r>
        <w:rPr>
          <w:rFonts w:ascii="Garamond" w:eastAsia="Times New Roman" w:hAnsi="Garamond"/>
          <w:lang w:eastAsia="pl-PL"/>
        </w:rPr>
        <w:t xml:space="preserve">e braki te </w:t>
      </w:r>
      <w:r w:rsidR="00477AE1">
        <w:rPr>
          <w:rFonts w:ascii="Garamond" w:eastAsia="Times New Roman" w:hAnsi="Garamond"/>
          <w:lang w:eastAsia="pl-PL"/>
        </w:rPr>
        <w:t>zauważone zostały po terminie otwarcia ofert co skutkuje niemożnością ich naprawienia a tym sa</w:t>
      </w:r>
      <w:r w:rsidR="00B132E5">
        <w:rPr>
          <w:rFonts w:ascii="Garamond" w:eastAsia="Times New Roman" w:hAnsi="Garamond"/>
          <w:lang w:eastAsia="pl-PL"/>
        </w:rPr>
        <w:t>mym wadą postę</w:t>
      </w:r>
      <w:r w:rsidR="00477AE1">
        <w:rPr>
          <w:rFonts w:ascii="Garamond" w:eastAsia="Times New Roman" w:hAnsi="Garamond"/>
          <w:lang w:eastAsia="pl-PL"/>
        </w:rPr>
        <w:t xml:space="preserve">powania. </w:t>
      </w:r>
    </w:p>
    <w:p w14:paraId="29F00468" w14:textId="1551C4D4" w:rsidR="007B2E36" w:rsidRDefault="007B2E36" w:rsidP="00BB376F">
      <w:pPr>
        <w:pStyle w:val="Akapitzlist"/>
        <w:ind w:left="426"/>
        <w:jc w:val="both"/>
        <w:rPr>
          <w:rFonts w:ascii="Garamond" w:eastAsia="Times New Roman" w:hAnsi="Garamond"/>
          <w:lang w:eastAsia="pl-PL"/>
        </w:rPr>
      </w:pPr>
      <w:r>
        <w:rPr>
          <w:rFonts w:ascii="Garamond" w:eastAsia="Times New Roman" w:hAnsi="Garamond"/>
          <w:lang w:eastAsia="pl-PL"/>
        </w:rPr>
        <w:t xml:space="preserve">Jednocześnie Zamawiający zauważa, że na etapie trwania postępowania </w:t>
      </w:r>
      <w:r w:rsidR="00477AE1">
        <w:rPr>
          <w:rFonts w:ascii="Garamond" w:eastAsia="Times New Roman" w:hAnsi="Garamond"/>
          <w:lang w:eastAsia="pl-PL"/>
        </w:rPr>
        <w:t>żaden z Wykonawców</w:t>
      </w:r>
      <w:r>
        <w:rPr>
          <w:rFonts w:ascii="Garamond" w:eastAsia="Times New Roman" w:hAnsi="Garamond"/>
          <w:lang w:eastAsia="pl-PL"/>
        </w:rPr>
        <w:t xml:space="preserve"> nie wniósł do Zamawiającego potencjalnych uwag bądź pytań sugerujących </w:t>
      </w:r>
      <w:r w:rsidR="00CA72A0">
        <w:rPr>
          <w:rFonts w:ascii="Garamond" w:eastAsia="Times New Roman" w:hAnsi="Garamond"/>
          <w:lang w:eastAsia="pl-PL"/>
        </w:rPr>
        <w:t>Zamawiającemu</w:t>
      </w:r>
      <w:r>
        <w:rPr>
          <w:rFonts w:ascii="Garamond" w:eastAsia="Times New Roman" w:hAnsi="Garamond"/>
          <w:lang w:eastAsia="pl-PL"/>
        </w:rPr>
        <w:t xml:space="preserve">, że przedmiotowe kryterium jest nieprecyzyjne bądź niejasne oraz zawiera swego rodzaju błędy co </w:t>
      </w:r>
      <w:r w:rsidR="00BE629E">
        <w:rPr>
          <w:rFonts w:ascii="Garamond" w:eastAsia="Times New Roman" w:hAnsi="Garamond"/>
          <w:lang w:eastAsia="pl-PL"/>
        </w:rPr>
        <w:br/>
      </w:r>
      <w:bookmarkStart w:id="0" w:name="_GoBack"/>
      <w:bookmarkEnd w:id="0"/>
      <w:r>
        <w:rPr>
          <w:rFonts w:ascii="Garamond" w:eastAsia="Times New Roman" w:hAnsi="Garamond"/>
          <w:lang w:eastAsia="pl-PL"/>
        </w:rPr>
        <w:t xml:space="preserve">w konsekwencji może </w:t>
      </w:r>
      <w:r w:rsidR="00CA72A0">
        <w:rPr>
          <w:rFonts w:ascii="Garamond" w:eastAsia="Times New Roman" w:hAnsi="Garamond"/>
          <w:lang w:eastAsia="pl-PL"/>
        </w:rPr>
        <w:t>budzić spore wątpliwości u Wykonawcy</w:t>
      </w:r>
      <w:r w:rsidR="00066D6D">
        <w:rPr>
          <w:rFonts w:ascii="Garamond" w:eastAsia="Times New Roman" w:hAnsi="Garamond"/>
          <w:lang w:eastAsia="pl-PL"/>
        </w:rPr>
        <w:t xml:space="preserve"> co do sposobu w jaki przeprowadzona będzie ocena próbek pod kątem „Jakość”. W </w:t>
      </w:r>
      <w:r w:rsidR="00CA72A0">
        <w:rPr>
          <w:rFonts w:ascii="Garamond" w:eastAsia="Times New Roman" w:hAnsi="Garamond"/>
          <w:lang w:eastAsia="pl-PL"/>
        </w:rPr>
        <w:t>konsekwencji</w:t>
      </w:r>
      <w:r w:rsidR="00066D6D">
        <w:rPr>
          <w:rFonts w:ascii="Garamond" w:eastAsia="Times New Roman" w:hAnsi="Garamond"/>
          <w:lang w:eastAsia="pl-PL"/>
        </w:rPr>
        <w:t xml:space="preserve"> </w:t>
      </w:r>
      <w:r w:rsidR="002605C5">
        <w:rPr>
          <w:rFonts w:ascii="Garamond" w:eastAsia="Times New Roman" w:hAnsi="Garamond"/>
          <w:lang w:eastAsia="pl-PL"/>
        </w:rPr>
        <w:t xml:space="preserve">wady </w:t>
      </w:r>
      <w:r w:rsidR="00066D6D">
        <w:rPr>
          <w:rFonts w:ascii="Garamond" w:eastAsia="Times New Roman" w:hAnsi="Garamond"/>
          <w:lang w:eastAsia="pl-PL"/>
        </w:rPr>
        <w:t xml:space="preserve">te </w:t>
      </w:r>
      <w:r w:rsidR="002605C5">
        <w:rPr>
          <w:rFonts w:ascii="Garamond" w:eastAsia="Times New Roman" w:hAnsi="Garamond"/>
          <w:lang w:eastAsia="pl-PL"/>
        </w:rPr>
        <w:t>wpływają na brak możliwości</w:t>
      </w:r>
      <w:r w:rsidR="00810D95">
        <w:rPr>
          <w:rFonts w:ascii="Garamond" w:eastAsia="Times New Roman" w:hAnsi="Garamond"/>
          <w:lang w:eastAsia="pl-PL"/>
        </w:rPr>
        <w:t xml:space="preserve"> dokonania </w:t>
      </w:r>
      <w:r w:rsidR="002605C5">
        <w:rPr>
          <w:rFonts w:ascii="Garamond" w:eastAsia="Times New Roman" w:hAnsi="Garamond"/>
          <w:lang w:eastAsia="pl-PL"/>
        </w:rPr>
        <w:t xml:space="preserve">przez Zamawiającego </w:t>
      </w:r>
      <w:r w:rsidR="00C10722">
        <w:rPr>
          <w:rFonts w:ascii="Garamond" w:eastAsia="Times New Roman" w:hAnsi="Garamond"/>
          <w:lang w:eastAsia="pl-PL"/>
        </w:rPr>
        <w:t>należytej i ważnej</w:t>
      </w:r>
      <w:r>
        <w:rPr>
          <w:rFonts w:ascii="Garamond" w:eastAsia="Times New Roman" w:hAnsi="Garamond"/>
          <w:lang w:eastAsia="pl-PL"/>
        </w:rPr>
        <w:t xml:space="preserve"> oceny</w:t>
      </w:r>
      <w:r w:rsidR="003F5CF2">
        <w:rPr>
          <w:rFonts w:ascii="Garamond" w:eastAsia="Times New Roman" w:hAnsi="Garamond"/>
          <w:lang w:eastAsia="pl-PL"/>
        </w:rPr>
        <w:t xml:space="preserve"> próbek w kryterium „Jakość”</w:t>
      </w:r>
      <w:r>
        <w:rPr>
          <w:rFonts w:ascii="Garamond" w:eastAsia="Times New Roman" w:hAnsi="Garamond"/>
          <w:lang w:eastAsia="pl-PL"/>
        </w:rPr>
        <w:t xml:space="preserve">. </w:t>
      </w:r>
      <w:r w:rsidR="00E86264">
        <w:rPr>
          <w:rFonts w:ascii="Garamond" w:eastAsia="Times New Roman" w:hAnsi="Garamond"/>
          <w:lang w:eastAsia="pl-PL"/>
        </w:rPr>
        <w:t>Wyartykułowane</w:t>
      </w:r>
      <w:r w:rsidR="00FC34DB">
        <w:rPr>
          <w:rFonts w:ascii="Garamond" w:eastAsia="Times New Roman" w:hAnsi="Garamond"/>
          <w:lang w:eastAsia="pl-PL"/>
        </w:rPr>
        <w:t xml:space="preserve"> braki wpływają również na możliwość obiektywnego przeprowadzenia oceny jakości </w:t>
      </w:r>
      <w:r w:rsidR="00363A67">
        <w:rPr>
          <w:rFonts w:ascii="Garamond" w:eastAsia="Times New Roman" w:hAnsi="Garamond"/>
          <w:lang w:eastAsia="pl-PL"/>
        </w:rPr>
        <w:t>próbek</w:t>
      </w:r>
      <w:r w:rsidR="00FC34DB">
        <w:rPr>
          <w:rFonts w:ascii="Garamond" w:eastAsia="Times New Roman" w:hAnsi="Garamond"/>
          <w:lang w:eastAsia="pl-PL"/>
        </w:rPr>
        <w:t xml:space="preserve"> co </w:t>
      </w:r>
      <w:r w:rsidR="00363A67">
        <w:rPr>
          <w:rFonts w:ascii="Garamond" w:eastAsia="Times New Roman" w:hAnsi="Garamond"/>
          <w:lang w:eastAsia="pl-PL"/>
        </w:rPr>
        <w:t>narusza</w:t>
      </w:r>
      <w:r w:rsidR="00FC34DB">
        <w:rPr>
          <w:rFonts w:ascii="Garamond" w:eastAsia="Times New Roman" w:hAnsi="Garamond"/>
          <w:lang w:eastAsia="pl-PL"/>
        </w:rPr>
        <w:t xml:space="preserve"> zasadę zachowania uczciwej konkurencji oraz wspomnianej powyżej zasady uczciwego traktowania wszystkich wykonawców. </w:t>
      </w:r>
    </w:p>
    <w:sectPr w:rsidR="007B2E3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20DF3" w14:textId="77777777" w:rsidR="007D1D90" w:rsidRDefault="007D1D90" w:rsidP="00E22E7B">
      <w:r>
        <w:separator/>
      </w:r>
    </w:p>
  </w:endnote>
  <w:endnote w:type="continuationSeparator" w:id="0">
    <w:p w14:paraId="6003E8B3" w14:textId="77777777" w:rsidR="007D1D90" w:rsidRDefault="007D1D90"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8AD81" w14:textId="77777777" w:rsidR="00066D6D" w:rsidRDefault="00066D6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452E6" w14:textId="77777777" w:rsidR="00066D6D" w:rsidRDefault="00066D6D"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22DD3F96" w14:textId="77777777" w:rsidR="00066D6D" w:rsidRPr="00965C5D" w:rsidRDefault="00066D6D" w:rsidP="007710AA">
    <w:pPr>
      <w:pStyle w:val="Stopka"/>
      <w:jc w:val="center"/>
      <w:rPr>
        <w:lang w:val="en-US"/>
      </w:rPr>
    </w:pPr>
    <w:r w:rsidRPr="00965C5D">
      <w:rPr>
        <w:rFonts w:ascii="Adobe Garamond Pro" w:hAnsi="Adobe Garamond Pro"/>
        <w:color w:val="B5123E"/>
        <w:sz w:val="24"/>
        <w:lang w:val="en-US"/>
      </w:rPr>
      <w:t>tel. +(48) 12 424 70 01, fax. +(48) 12 424 74 87</w:t>
    </w:r>
    <w:r w:rsidRPr="00965C5D">
      <w:rPr>
        <w:rFonts w:ascii="Adobe Garamond Pro" w:hAnsi="Adobe Garamond Pro"/>
        <w:color w:val="B5123E"/>
        <w:sz w:val="24"/>
        <w:lang w:val="en-US"/>
      </w:rPr>
      <w:br/>
      <w:t>www.su.krakow.pl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3A675" w14:textId="77777777" w:rsidR="00066D6D" w:rsidRDefault="00066D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B0A43" w14:textId="77777777" w:rsidR="007D1D90" w:rsidRDefault="007D1D90" w:rsidP="00E22E7B">
      <w:r>
        <w:separator/>
      </w:r>
    </w:p>
  </w:footnote>
  <w:footnote w:type="continuationSeparator" w:id="0">
    <w:p w14:paraId="7BF0A3A9" w14:textId="77777777" w:rsidR="007D1D90" w:rsidRDefault="007D1D90"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6A9A" w14:textId="77777777" w:rsidR="00066D6D" w:rsidRDefault="00066D6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9175" w14:textId="77777777" w:rsidR="00066D6D" w:rsidRDefault="00066D6D" w:rsidP="00E22E7B">
    <w:pPr>
      <w:pStyle w:val="Nagwek"/>
      <w:jc w:val="center"/>
    </w:pPr>
    <w:r>
      <w:rPr>
        <w:noProof/>
        <w:lang w:eastAsia="pl-PL"/>
      </w:rPr>
      <w:drawing>
        <wp:inline distT="0" distB="0" distL="0" distR="0" wp14:anchorId="72E729C0" wp14:editId="29399EAA">
          <wp:extent cx="175895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695D" w14:textId="77777777" w:rsidR="00066D6D" w:rsidRDefault="00066D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5408C"/>
    <w:multiLevelType w:val="hybridMultilevel"/>
    <w:tmpl w:val="2BA00B34"/>
    <w:lvl w:ilvl="0" w:tplc="5AAC0C16">
      <w:start w:val="4"/>
      <w:numFmt w:val="decimal"/>
      <w:lvlText w:val="%1."/>
      <w:lvlJc w:val="left"/>
      <w:pPr>
        <w:tabs>
          <w:tab w:val="num" w:pos="720"/>
        </w:tabs>
        <w:ind w:left="720" w:hanging="36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6B3A4CF8"/>
    <w:multiLevelType w:val="hybridMultilevel"/>
    <w:tmpl w:val="A4D4CAE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16BE"/>
    <w:rsid w:val="00004FEA"/>
    <w:rsid w:val="000126EA"/>
    <w:rsid w:val="00012BF5"/>
    <w:rsid w:val="00026282"/>
    <w:rsid w:val="000365DE"/>
    <w:rsid w:val="00044BE6"/>
    <w:rsid w:val="00065AA9"/>
    <w:rsid w:val="00066D6D"/>
    <w:rsid w:val="00074020"/>
    <w:rsid w:val="00074532"/>
    <w:rsid w:val="00091408"/>
    <w:rsid w:val="000B2E90"/>
    <w:rsid w:val="000C2A2D"/>
    <w:rsid w:val="000D1CB4"/>
    <w:rsid w:val="000F4865"/>
    <w:rsid w:val="00104BA1"/>
    <w:rsid w:val="00127A5F"/>
    <w:rsid w:val="00130C85"/>
    <w:rsid w:val="00150BE7"/>
    <w:rsid w:val="00160F47"/>
    <w:rsid w:val="00161F9B"/>
    <w:rsid w:val="00174FCE"/>
    <w:rsid w:val="0019518C"/>
    <w:rsid w:val="001A13F0"/>
    <w:rsid w:val="001B0EB5"/>
    <w:rsid w:val="001C7A12"/>
    <w:rsid w:val="001D7376"/>
    <w:rsid w:val="001F224D"/>
    <w:rsid w:val="001F26F1"/>
    <w:rsid w:val="001F7C02"/>
    <w:rsid w:val="0020264E"/>
    <w:rsid w:val="00207F91"/>
    <w:rsid w:val="00230305"/>
    <w:rsid w:val="00240133"/>
    <w:rsid w:val="00246A4C"/>
    <w:rsid w:val="00252F09"/>
    <w:rsid w:val="002605C5"/>
    <w:rsid w:val="002831E0"/>
    <w:rsid w:val="00284FD2"/>
    <w:rsid w:val="002A39CA"/>
    <w:rsid w:val="002A4963"/>
    <w:rsid w:val="002B2783"/>
    <w:rsid w:val="002C59D0"/>
    <w:rsid w:val="002C60D7"/>
    <w:rsid w:val="002D3C68"/>
    <w:rsid w:val="002F632B"/>
    <w:rsid w:val="002F6D1F"/>
    <w:rsid w:val="00306644"/>
    <w:rsid w:val="00307B93"/>
    <w:rsid w:val="003169D4"/>
    <w:rsid w:val="00320B51"/>
    <w:rsid w:val="0032285A"/>
    <w:rsid w:val="00327E7D"/>
    <w:rsid w:val="00332B72"/>
    <w:rsid w:val="003634C7"/>
    <w:rsid w:val="00363A67"/>
    <w:rsid w:val="00370937"/>
    <w:rsid w:val="00385682"/>
    <w:rsid w:val="003A5AC6"/>
    <w:rsid w:val="003B6BF5"/>
    <w:rsid w:val="003C39DE"/>
    <w:rsid w:val="003D1E93"/>
    <w:rsid w:val="003D7030"/>
    <w:rsid w:val="003E4172"/>
    <w:rsid w:val="003F38C3"/>
    <w:rsid w:val="003F447D"/>
    <w:rsid w:val="003F5CF2"/>
    <w:rsid w:val="003F6A3B"/>
    <w:rsid w:val="00403D4C"/>
    <w:rsid w:val="0042030A"/>
    <w:rsid w:val="0042039E"/>
    <w:rsid w:val="00427D95"/>
    <w:rsid w:val="004710CE"/>
    <w:rsid w:val="00472E2A"/>
    <w:rsid w:val="00477AE1"/>
    <w:rsid w:val="004B0CA9"/>
    <w:rsid w:val="004B462E"/>
    <w:rsid w:val="004D4297"/>
    <w:rsid w:val="004D64E0"/>
    <w:rsid w:val="004E637E"/>
    <w:rsid w:val="004F43DF"/>
    <w:rsid w:val="004F620B"/>
    <w:rsid w:val="00503872"/>
    <w:rsid w:val="00507B67"/>
    <w:rsid w:val="0051283B"/>
    <w:rsid w:val="00516D77"/>
    <w:rsid w:val="0053184F"/>
    <w:rsid w:val="005522FC"/>
    <w:rsid w:val="005648AF"/>
    <w:rsid w:val="005752B5"/>
    <w:rsid w:val="00580B34"/>
    <w:rsid w:val="00597121"/>
    <w:rsid w:val="005A2F7F"/>
    <w:rsid w:val="005B4535"/>
    <w:rsid w:val="005C63BD"/>
    <w:rsid w:val="005D210D"/>
    <w:rsid w:val="005D4808"/>
    <w:rsid w:val="005E1844"/>
    <w:rsid w:val="005E3191"/>
    <w:rsid w:val="005E345B"/>
    <w:rsid w:val="005E46B9"/>
    <w:rsid w:val="00600795"/>
    <w:rsid w:val="00603DB3"/>
    <w:rsid w:val="00620184"/>
    <w:rsid w:val="00627AFD"/>
    <w:rsid w:val="00631EE1"/>
    <w:rsid w:val="00657851"/>
    <w:rsid w:val="00657F68"/>
    <w:rsid w:val="00672B48"/>
    <w:rsid w:val="00674F8D"/>
    <w:rsid w:val="006819E5"/>
    <w:rsid w:val="00690C75"/>
    <w:rsid w:val="006A201D"/>
    <w:rsid w:val="006A4201"/>
    <w:rsid w:val="006A6173"/>
    <w:rsid w:val="006C3F99"/>
    <w:rsid w:val="006C53B0"/>
    <w:rsid w:val="006E2EBA"/>
    <w:rsid w:val="006E4A2A"/>
    <w:rsid w:val="006F3F04"/>
    <w:rsid w:val="006F52EE"/>
    <w:rsid w:val="00712A8D"/>
    <w:rsid w:val="0072319D"/>
    <w:rsid w:val="00724C75"/>
    <w:rsid w:val="00751B36"/>
    <w:rsid w:val="007710AA"/>
    <w:rsid w:val="007974E3"/>
    <w:rsid w:val="00797BF8"/>
    <w:rsid w:val="007B2E36"/>
    <w:rsid w:val="007D0926"/>
    <w:rsid w:val="007D1D90"/>
    <w:rsid w:val="007F72B4"/>
    <w:rsid w:val="00810D95"/>
    <w:rsid w:val="00811FCD"/>
    <w:rsid w:val="00814C7B"/>
    <w:rsid w:val="00823877"/>
    <w:rsid w:val="00823CA9"/>
    <w:rsid w:val="00866D2F"/>
    <w:rsid w:val="008A0641"/>
    <w:rsid w:val="008A4C26"/>
    <w:rsid w:val="008C4550"/>
    <w:rsid w:val="008D4CA7"/>
    <w:rsid w:val="008E1AD8"/>
    <w:rsid w:val="00912B66"/>
    <w:rsid w:val="00930B84"/>
    <w:rsid w:val="00946523"/>
    <w:rsid w:val="00957E08"/>
    <w:rsid w:val="00960377"/>
    <w:rsid w:val="00965C5D"/>
    <w:rsid w:val="00975819"/>
    <w:rsid w:val="009859C0"/>
    <w:rsid w:val="0099233B"/>
    <w:rsid w:val="009948A3"/>
    <w:rsid w:val="009A0ABF"/>
    <w:rsid w:val="009A5839"/>
    <w:rsid w:val="009B3680"/>
    <w:rsid w:val="009B3FAF"/>
    <w:rsid w:val="009B500F"/>
    <w:rsid w:val="009B7944"/>
    <w:rsid w:val="009D484E"/>
    <w:rsid w:val="009E7933"/>
    <w:rsid w:val="00A25201"/>
    <w:rsid w:val="00A346F4"/>
    <w:rsid w:val="00A46CF6"/>
    <w:rsid w:val="00A50E45"/>
    <w:rsid w:val="00A5128E"/>
    <w:rsid w:val="00A667D7"/>
    <w:rsid w:val="00A67DCC"/>
    <w:rsid w:val="00A85E11"/>
    <w:rsid w:val="00AA2535"/>
    <w:rsid w:val="00AE1D1C"/>
    <w:rsid w:val="00AE50F2"/>
    <w:rsid w:val="00AF6D71"/>
    <w:rsid w:val="00B132E5"/>
    <w:rsid w:val="00B2735D"/>
    <w:rsid w:val="00B27E21"/>
    <w:rsid w:val="00B30541"/>
    <w:rsid w:val="00B330C1"/>
    <w:rsid w:val="00B404BD"/>
    <w:rsid w:val="00B43F54"/>
    <w:rsid w:val="00B47CE2"/>
    <w:rsid w:val="00B54D5E"/>
    <w:rsid w:val="00B55953"/>
    <w:rsid w:val="00B760A1"/>
    <w:rsid w:val="00B84730"/>
    <w:rsid w:val="00B86A76"/>
    <w:rsid w:val="00B879F5"/>
    <w:rsid w:val="00B92734"/>
    <w:rsid w:val="00BB376F"/>
    <w:rsid w:val="00BD62BF"/>
    <w:rsid w:val="00BE629E"/>
    <w:rsid w:val="00C03926"/>
    <w:rsid w:val="00C10722"/>
    <w:rsid w:val="00C1348E"/>
    <w:rsid w:val="00C35426"/>
    <w:rsid w:val="00C3619A"/>
    <w:rsid w:val="00C61EFF"/>
    <w:rsid w:val="00C63F5F"/>
    <w:rsid w:val="00C65C79"/>
    <w:rsid w:val="00C719D4"/>
    <w:rsid w:val="00C72C2E"/>
    <w:rsid w:val="00C8005D"/>
    <w:rsid w:val="00C843D2"/>
    <w:rsid w:val="00C92103"/>
    <w:rsid w:val="00C925E6"/>
    <w:rsid w:val="00CA0F17"/>
    <w:rsid w:val="00CA72A0"/>
    <w:rsid w:val="00CB683E"/>
    <w:rsid w:val="00CB6D5F"/>
    <w:rsid w:val="00CC72CD"/>
    <w:rsid w:val="00D06673"/>
    <w:rsid w:val="00D111E4"/>
    <w:rsid w:val="00D11E95"/>
    <w:rsid w:val="00D338B8"/>
    <w:rsid w:val="00D45B15"/>
    <w:rsid w:val="00D513A0"/>
    <w:rsid w:val="00D615EE"/>
    <w:rsid w:val="00D64906"/>
    <w:rsid w:val="00D75C7E"/>
    <w:rsid w:val="00D846E1"/>
    <w:rsid w:val="00D86F48"/>
    <w:rsid w:val="00D876BE"/>
    <w:rsid w:val="00DA5517"/>
    <w:rsid w:val="00DB6B99"/>
    <w:rsid w:val="00DB7D55"/>
    <w:rsid w:val="00DD0E69"/>
    <w:rsid w:val="00DD755E"/>
    <w:rsid w:val="00DE173A"/>
    <w:rsid w:val="00DE59B9"/>
    <w:rsid w:val="00E04B37"/>
    <w:rsid w:val="00E079BF"/>
    <w:rsid w:val="00E22E7B"/>
    <w:rsid w:val="00E42DD1"/>
    <w:rsid w:val="00E452FC"/>
    <w:rsid w:val="00E631DB"/>
    <w:rsid w:val="00E80105"/>
    <w:rsid w:val="00E86264"/>
    <w:rsid w:val="00EA1A06"/>
    <w:rsid w:val="00EC0ACA"/>
    <w:rsid w:val="00F00ADA"/>
    <w:rsid w:val="00F03653"/>
    <w:rsid w:val="00F42979"/>
    <w:rsid w:val="00F62600"/>
    <w:rsid w:val="00F87037"/>
    <w:rsid w:val="00F901E7"/>
    <w:rsid w:val="00FA1F65"/>
    <w:rsid w:val="00FA2B87"/>
    <w:rsid w:val="00FA355E"/>
    <w:rsid w:val="00FC23DD"/>
    <w:rsid w:val="00FC34DB"/>
    <w:rsid w:val="00FC46BC"/>
    <w:rsid w:val="00FE38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4F440"/>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631EE1"/>
    <w:pPr>
      <w:widowControl w:val="0"/>
      <w:spacing w:after="0" w:line="240" w:lineRule="auto"/>
    </w:pPr>
    <w:rPr>
      <w:rFonts w:ascii="Calibri" w:eastAsia="Calibri" w:hAnsi="Calibri" w:cs="Times New Roman"/>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6E4A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Tekstpodstawowywcity2">
    <w:name w:val="Body Text Indent 2"/>
    <w:basedOn w:val="Normalny"/>
    <w:link w:val="Tekstpodstawowywcity2Znak"/>
    <w:rsid w:val="0019518C"/>
    <w:pPr>
      <w:ind w:left="705" w:hanging="705"/>
      <w:jc w:val="both"/>
    </w:pPr>
    <w:rPr>
      <w:rFonts w:ascii="Times New Roman" w:eastAsia="Times New Roman" w:hAnsi="Times New Roman"/>
      <w:bCs/>
      <w:sz w:val="24"/>
      <w:szCs w:val="24"/>
      <w:lang w:eastAsia="pl-PL"/>
    </w:rPr>
  </w:style>
  <w:style w:type="character" w:customStyle="1" w:styleId="Tekstpodstawowywcity2Znak">
    <w:name w:val="Tekst podstawowy wcięty 2 Znak"/>
    <w:basedOn w:val="Domylnaczcionkaakapitu"/>
    <w:link w:val="Tekstpodstawowywcity2"/>
    <w:rsid w:val="0019518C"/>
    <w:rPr>
      <w:rFonts w:ascii="Times New Roman" w:eastAsia="Times New Roman" w:hAnsi="Times New Roman" w:cs="Times New Roman"/>
      <w:bCs/>
      <w:sz w:val="24"/>
      <w:szCs w:val="24"/>
      <w:lang w:val="en-US" w:eastAsia="pl-PL"/>
    </w:rPr>
  </w:style>
  <w:style w:type="paragraph" w:styleId="Akapitzlist">
    <w:name w:val="List Paragraph"/>
    <w:basedOn w:val="Normalny"/>
    <w:uiPriority w:val="34"/>
    <w:qFormat/>
    <w:rsid w:val="002F632B"/>
    <w:pPr>
      <w:ind w:left="720"/>
      <w:contextualSpacing/>
    </w:pPr>
  </w:style>
  <w:style w:type="character" w:customStyle="1" w:styleId="Nagwek2Znak">
    <w:name w:val="Nagłówek 2 Znak"/>
    <w:basedOn w:val="Domylnaczcionkaakapitu"/>
    <w:link w:val="Nagwek2"/>
    <w:uiPriority w:val="9"/>
    <w:semiHidden/>
    <w:rsid w:val="006E4A2A"/>
    <w:rPr>
      <w:rFonts w:asciiTheme="majorHAnsi" w:eastAsiaTheme="majorEastAsia" w:hAnsiTheme="majorHAnsi" w:cstheme="majorBidi"/>
      <w:color w:val="2E74B5" w:themeColor="accent1" w:themeShade="BF"/>
      <w:sz w:val="26"/>
      <w:szCs w:val="26"/>
    </w:rPr>
  </w:style>
  <w:style w:type="paragraph" w:styleId="Tekstpodstawowy3">
    <w:name w:val="Body Text 3"/>
    <w:basedOn w:val="Normalny"/>
    <w:link w:val="Tekstpodstawowy3Znak"/>
    <w:uiPriority w:val="99"/>
    <w:semiHidden/>
    <w:unhideWhenUsed/>
    <w:rsid w:val="006E4A2A"/>
    <w:pPr>
      <w:spacing w:after="120"/>
    </w:pPr>
    <w:rPr>
      <w:sz w:val="16"/>
      <w:szCs w:val="16"/>
    </w:rPr>
  </w:style>
  <w:style w:type="character" w:customStyle="1" w:styleId="Tekstpodstawowy3Znak">
    <w:name w:val="Tekst podstawowy 3 Znak"/>
    <w:basedOn w:val="Domylnaczcionkaakapitu"/>
    <w:link w:val="Tekstpodstawowy3"/>
    <w:uiPriority w:val="99"/>
    <w:semiHidden/>
    <w:rsid w:val="006E4A2A"/>
    <w:rPr>
      <w:rFonts w:ascii="Calibri" w:eastAsia="Calibri" w:hAnsi="Calibri" w:cs="Times New Roman"/>
      <w:sz w:val="16"/>
      <w:szCs w:val="16"/>
    </w:rPr>
  </w:style>
  <w:style w:type="paragraph" w:styleId="Tekstprzypisukocowego">
    <w:name w:val="endnote text"/>
    <w:basedOn w:val="Normalny"/>
    <w:link w:val="TekstprzypisukocowegoZnak"/>
    <w:uiPriority w:val="99"/>
    <w:semiHidden/>
    <w:unhideWhenUsed/>
    <w:rsid w:val="007B2E36"/>
    <w:rPr>
      <w:sz w:val="20"/>
      <w:szCs w:val="20"/>
    </w:rPr>
  </w:style>
  <w:style w:type="character" w:customStyle="1" w:styleId="TekstprzypisukocowegoZnak">
    <w:name w:val="Tekst przypisu końcowego Znak"/>
    <w:basedOn w:val="Domylnaczcionkaakapitu"/>
    <w:link w:val="Tekstprzypisukocowego"/>
    <w:uiPriority w:val="99"/>
    <w:semiHidden/>
    <w:rsid w:val="007B2E3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B2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9920">
      <w:bodyDiv w:val="1"/>
      <w:marLeft w:val="0"/>
      <w:marRight w:val="0"/>
      <w:marTop w:val="0"/>
      <w:marBottom w:val="0"/>
      <w:divBdr>
        <w:top w:val="none" w:sz="0" w:space="0" w:color="auto"/>
        <w:left w:val="none" w:sz="0" w:space="0" w:color="auto"/>
        <w:bottom w:val="none" w:sz="0" w:space="0" w:color="auto"/>
        <w:right w:val="none" w:sz="0" w:space="0" w:color="auto"/>
      </w:divBdr>
    </w:div>
    <w:div w:id="1325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3DDBA946-5CA2-4A30-8A41-A17B5363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1674</Words>
  <Characters>10046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Dorota Bochenek</cp:lastModifiedBy>
  <cp:revision>4</cp:revision>
  <cp:lastPrinted>2020-07-20T06:59:00Z</cp:lastPrinted>
  <dcterms:created xsi:type="dcterms:W3CDTF">2020-07-22T08:53:00Z</dcterms:created>
  <dcterms:modified xsi:type="dcterms:W3CDTF">2020-07-23T06:34:00Z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