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5B65833B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646641">
        <w:rPr>
          <w:rFonts w:ascii="Garamond" w:hAnsi="Garamond"/>
        </w:rPr>
        <w:t>DFP.271.</w:t>
      </w:r>
      <w:r w:rsidR="00CA6E26">
        <w:rPr>
          <w:rFonts w:ascii="Garamond" w:hAnsi="Garamond"/>
        </w:rPr>
        <w:t>23</w:t>
      </w:r>
      <w:r w:rsidR="00124497">
        <w:rPr>
          <w:rFonts w:ascii="Garamond" w:hAnsi="Garamond"/>
        </w:rPr>
        <w:t>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902FC5" w:rsidRPr="00902FC5">
        <w:rPr>
          <w:rFonts w:ascii="Garamond" w:hAnsi="Garamond"/>
        </w:rPr>
        <w:t>Kraków, dnia 06</w:t>
      </w:r>
      <w:r w:rsidR="004901F3" w:rsidRPr="00902FC5">
        <w:rPr>
          <w:rFonts w:ascii="Garamond" w:hAnsi="Garamond"/>
        </w:rPr>
        <w:t>.07</w:t>
      </w:r>
      <w:r w:rsidR="00EE7E43" w:rsidRPr="00902FC5">
        <w:rPr>
          <w:rFonts w:ascii="Garamond" w:hAnsi="Garamond"/>
        </w:rPr>
        <w:t>.</w:t>
      </w:r>
      <w:r w:rsidR="00B16673" w:rsidRPr="00902FC5">
        <w:rPr>
          <w:rFonts w:ascii="Garamond" w:hAnsi="Garamond"/>
        </w:rPr>
        <w:t>2021</w:t>
      </w:r>
      <w:r w:rsidRPr="00902FC5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  <w:bookmarkStart w:id="0" w:name="_GoBack"/>
      <w:bookmarkEnd w:id="0"/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5975FAB6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CA6E26" w:rsidRPr="00CA6E26">
        <w:rPr>
          <w:rFonts w:ascii="Garamond" w:hAnsi="Garamond"/>
          <w:b/>
        </w:rPr>
        <w:t>dostawę sprzętu serwerowego wraz z oprogramowaniem, instalacją i udziel</w:t>
      </w:r>
      <w:r w:rsidR="00CA6E26">
        <w:rPr>
          <w:rFonts w:ascii="Garamond" w:hAnsi="Garamond"/>
          <w:b/>
        </w:rPr>
        <w:t>eniem licencji na korzystanie z </w:t>
      </w:r>
      <w:r w:rsidR="00CA6E26" w:rsidRPr="00CA6E26">
        <w:rPr>
          <w:rFonts w:ascii="Garamond" w:hAnsi="Garamond"/>
          <w:b/>
        </w:rPr>
        <w:t>oprogramowania.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078474C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Wybrano </w:t>
      </w:r>
      <w:r w:rsidR="000103D6">
        <w:rPr>
          <w:rFonts w:ascii="Garamond" w:hAnsi="Garamond"/>
        </w:rPr>
        <w:t>następującą ofertę</w:t>
      </w:r>
      <w:r w:rsidRPr="001A6C03">
        <w:rPr>
          <w:rFonts w:ascii="Garamond" w:hAnsi="Garamond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5054"/>
        <w:gridCol w:w="2817"/>
      </w:tblGrid>
      <w:tr w:rsidR="000103D6" w:rsidRPr="004901F3" w14:paraId="491CA855" w14:textId="77777777" w:rsidTr="000103D6">
        <w:trPr>
          <w:trHeight w:val="61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DEC0" w14:textId="77777777" w:rsidR="000103D6" w:rsidRPr="004901F3" w:rsidRDefault="000103D6" w:rsidP="004901F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901F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155A1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901F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EBEDC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0103D6" w:rsidRPr="004901F3" w14:paraId="64F26884" w14:textId="77777777" w:rsidTr="000103D6">
        <w:trPr>
          <w:trHeight w:val="42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731" w14:textId="5DB636FB" w:rsidR="000103D6" w:rsidRPr="004901F3" w:rsidRDefault="00CA6E26" w:rsidP="000103D6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3</w:t>
            </w:r>
            <w:r w:rsidR="000103D6">
              <w:rPr>
                <w:rFonts w:ascii="Garamond" w:eastAsia="Times New Roman" w:hAnsi="Garamond"/>
              </w:rPr>
              <w:t>.</w:t>
            </w:r>
          </w:p>
        </w:tc>
        <w:tc>
          <w:tcPr>
            <w:tcW w:w="5054" w:type="dxa"/>
            <w:shd w:val="clear" w:color="auto" w:fill="auto"/>
            <w:vAlign w:val="center"/>
            <w:hideMark/>
          </w:tcPr>
          <w:p w14:paraId="2EA87621" w14:textId="77777777" w:rsidR="00CA6E26" w:rsidRPr="000771A5" w:rsidRDefault="00CA6E26" w:rsidP="00CA6E26">
            <w:pPr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proofErr w:type="spellStart"/>
            <w:r w:rsidRPr="000771A5">
              <w:rPr>
                <w:rFonts w:ascii="Garamond" w:eastAsia="Times New Roman" w:hAnsi="Garamond"/>
                <w:lang w:val="en-US" w:eastAsia="pl-PL"/>
              </w:rPr>
              <w:t>Konsorcjum</w:t>
            </w:r>
            <w:proofErr w:type="spellEnd"/>
            <w:r w:rsidRPr="000771A5">
              <w:rPr>
                <w:rFonts w:ascii="Garamond" w:eastAsia="Times New Roman" w:hAnsi="Garamond"/>
                <w:lang w:val="en-US" w:eastAsia="pl-PL"/>
              </w:rPr>
              <w:t>:</w:t>
            </w:r>
          </w:p>
          <w:p w14:paraId="0FC8A808" w14:textId="77777777" w:rsidR="00CA6E26" w:rsidRPr="000771A5" w:rsidRDefault="00CA6E26" w:rsidP="00CA6E26">
            <w:pPr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r w:rsidRPr="000771A5">
              <w:rPr>
                <w:rFonts w:ascii="Garamond" w:eastAsia="Times New Roman" w:hAnsi="Garamond"/>
                <w:lang w:val="en-US" w:eastAsia="pl-PL"/>
              </w:rPr>
              <w:t xml:space="preserve">Data Experts Sp. z o. o. </w:t>
            </w:r>
          </w:p>
          <w:p w14:paraId="1FE2FECB" w14:textId="77777777" w:rsidR="00CA6E26" w:rsidRPr="00CA6E26" w:rsidRDefault="00CA6E26" w:rsidP="00CA6E26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CA6E26">
              <w:rPr>
                <w:rFonts w:ascii="Garamond" w:eastAsia="Times New Roman" w:hAnsi="Garamond"/>
                <w:lang w:eastAsia="pl-PL"/>
              </w:rPr>
              <w:t>ul. Wyczółki 71; 02-820 Warszawa</w:t>
            </w:r>
          </w:p>
          <w:p w14:paraId="62557AF3" w14:textId="77777777" w:rsidR="00CA6E26" w:rsidRPr="00CA6E26" w:rsidRDefault="00CA6E26" w:rsidP="00CA6E26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CA6E26">
              <w:rPr>
                <w:rFonts w:ascii="Garamond" w:eastAsia="Times New Roman" w:hAnsi="Garamond"/>
                <w:lang w:eastAsia="pl-PL"/>
              </w:rPr>
              <w:t xml:space="preserve">DS. </w:t>
            </w:r>
            <w:proofErr w:type="spellStart"/>
            <w:r w:rsidRPr="00CA6E26">
              <w:rPr>
                <w:rFonts w:ascii="Garamond" w:eastAsia="Times New Roman" w:hAnsi="Garamond"/>
                <w:lang w:eastAsia="pl-PL"/>
              </w:rPr>
              <w:t>Comp</w:t>
            </w:r>
            <w:proofErr w:type="spellEnd"/>
            <w:r w:rsidRPr="00CA6E26">
              <w:rPr>
                <w:rFonts w:ascii="Garamond" w:eastAsia="Times New Roman" w:hAnsi="Garamond"/>
                <w:lang w:eastAsia="pl-PL"/>
              </w:rPr>
              <w:t xml:space="preserve"> Sylwia Dulak</w:t>
            </w:r>
          </w:p>
          <w:p w14:paraId="29DB6153" w14:textId="045AA7E1" w:rsidR="000103D6" w:rsidRPr="004901F3" w:rsidRDefault="00CA6E26" w:rsidP="00CA6E26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CA6E26">
              <w:rPr>
                <w:rFonts w:ascii="Garamond" w:eastAsia="Times New Roman" w:hAnsi="Garamond"/>
                <w:lang w:eastAsia="pl-PL"/>
              </w:rPr>
              <w:t>oś. Kościuszkowskie 6/229; 31-858 Kraków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03178C1" w14:textId="1D9BCD0F" w:rsidR="000103D6" w:rsidRPr="004901F3" w:rsidRDefault="00CA6E26" w:rsidP="000103D6">
            <w:pPr>
              <w:jc w:val="center"/>
              <w:rPr>
                <w:rFonts w:ascii="Garamond" w:hAnsi="Garamond"/>
                <w:lang w:eastAsia="pl-PL"/>
              </w:rPr>
            </w:pPr>
            <w:r w:rsidRPr="00CA6E26">
              <w:rPr>
                <w:rFonts w:ascii="Garamond" w:hAnsi="Garamond"/>
                <w:lang w:eastAsia="pl-PL"/>
              </w:rPr>
              <w:t>309 960,00 zł</w:t>
            </w:r>
          </w:p>
        </w:tc>
      </w:tr>
    </w:tbl>
    <w:p w14:paraId="1197C779" w14:textId="7D1676B6" w:rsidR="000103D6" w:rsidRPr="000103D6" w:rsidRDefault="007F2657" w:rsidP="000103D6">
      <w:pPr>
        <w:ind w:left="284" w:right="141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0103D6"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 w:rsidR="000103D6"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="000103D6">
        <w:rPr>
          <w:rFonts w:ascii="Garamond" w:hAnsi="Garamond"/>
        </w:rPr>
        <w:t>W</w:t>
      </w:r>
      <w:r w:rsidR="000103D6" w:rsidRPr="000103D6">
        <w:rPr>
          <w:rFonts w:ascii="Garamond" w:hAnsi="Garamond"/>
        </w:rPr>
        <w:t>ybrana oferta otrzymała maksymalną liczbę punktów</w:t>
      </w:r>
      <w:r w:rsidR="000103D6">
        <w:rPr>
          <w:rFonts w:ascii="Garamond" w:hAnsi="Garamond"/>
        </w:rPr>
        <w:t xml:space="preserve">. </w:t>
      </w:r>
    </w:p>
    <w:p w14:paraId="28D2A384" w14:textId="4977A214" w:rsidR="007A4A11" w:rsidRPr="001A6C03" w:rsidRDefault="007A4A11" w:rsidP="000103D6">
      <w:pPr>
        <w:jc w:val="both"/>
        <w:rPr>
          <w:rFonts w:ascii="Garamond" w:hAnsi="Garamond"/>
        </w:rPr>
      </w:pPr>
    </w:p>
    <w:p w14:paraId="6F9121FD" w14:textId="15211CA5" w:rsidR="004472D9" w:rsidRPr="009C00F1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0103D6" w:rsidRPr="00B0521D" w14:paraId="78E49B70" w14:textId="77777777" w:rsidTr="000103D6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0103D6" w:rsidRPr="00B0521D" w:rsidRDefault="000103D6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0103D6" w:rsidRPr="00B0521D" w:rsidRDefault="000103D6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CA6E26" w:rsidRPr="00B0521D" w14:paraId="2FFB6A88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752C054E" w14:textId="7675D9CC" w:rsidR="00CA6E26" w:rsidRPr="00B0521D" w:rsidRDefault="00CA6E26" w:rsidP="00CA6E2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6E4BDF7D" w14:textId="77777777" w:rsidR="00CA6E26" w:rsidRDefault="00CA6E26" w:rsidP="00CA6E2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Zakład Systemów Komputerowych ZSK Sp. z o. o. </w:t>
            </w:r>
          </w:p>
          <w:p w14:paraId="34D477A6" w14:textId="6FC9BBEA" w:rsidR="00CA6E26" w:rsidRPr="00B0521D" w:rsidRDefault="00CA6E26" w:rsidP="00CA6E2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dr. Józefa Babińskiego 62A; 30-393 Kraków</w:t>
            </w:r>
          </w:p>
        </w:tc>
      </w:tr>
      <w:tr w:rsidR="00CA6E26" w:rsidRPr="00B0521D" w14:paraId="51C2E75F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0834BF1B" w14:textId="2AED02DD" w:rsidR="00CA6E26" w:rsidRDefault="00CA6E26" w:rsidP="00CA6E2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2. 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293AE370" w14:textId="77777777" w:rsidR="00CA6E26" w:rsidRDefault="00CA6E26" w:rsidP="00CA6E2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>
              <w:rPr>
                <w:rFonts w:ascii="Garamond" w:eastAsia="Times New Roman" w:hAnsi="Garamond"/>
                <w:lang w:eastAsia="pl-PL"/>
              </w:rPr>
              <w:t>Dabacom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Bartosz Raczyński</w:t>
            </w:r>
          </w:p>
          <w:p w14:paraId="6A942E58" w14:textId="53341B06" w:rsidR="00CA6E26" w:rsidRPr="00B0521D" w:rsidRDefault="00CA6E26" w:rsidP="00CA6E2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Ojcowska 17; 80-146 Gdańsk</w:t>
            </w:r>
          </w:p>
        </w:tc>
      </w:tr>
      <w:tr w:rsidR="00CA6E26" w:rsidRPr="00B0521D" w14:paraId="541F8A3E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2DD71DB5" w14:textId="79C9B0C8" w:rsidR="00CA6E26" w:rsidRDefault="00CA6E26" w:rsidP="00CA6E2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3. 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10FD9F22" w14:textId="77777777" w:rsidR="00CA6E26" w:rsidRPr="000771A5" w:rsidRDefault="00CA6E26" w:rsidP="00CA6E2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proofErr w:type="spellStart"/>
            <w:r w:rsidRPr="000771A5">
              <w:rPr>
                <w:rFonts w:ascii="Garamond" w:eastAsia="Times New Roman" w:hAnsi="Garamond"/>
                <w:lang w:val="en-US" w:eastAsia="pl-PL"/>
              </w:rPr>
              <w:t>Konsorcjum</w:t>
            </w:r>
            <w:proofErr w:type="spellEnd"/>
            <w:r w:rsidRPr="000771A5">
              <w:rPr>
                <w:rFonts w:ascii="Garamond" w:eastAsia="Times New Roman" w:hAnsi="Garamond"/>
                <w:lang w:val="en-US" w:eastAsia="pl-PL"/>
              </w:rPr>
              <w:t>:</w:t>
            </w:r>
          </w:p>
          <w:p w14:paraId="6CCE88AE" w14:textId="77777777" w:rsidR="00CA6E26" w:rsidRPr="000771A5" w:rsidRDefault="00CA6E26" w:rsidP="00CA6E2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r w:rsidRPr="000771A5">
              <w:rPr>
                <w:rFonts w:ascii="Garamond" w:eastAsia="Times New Roman" w:hAnsi="Garamond"/>
                <w:lang w:val="en-US" w:eastAsia="pl-PL"/>
              </w:rPr>
              <w:t xml:space="preserve">Data Experts Sp. z o. o. </w:t>
            </w:r>
          </w:p>
          <w:p w14:paraId="4A5E774B" w14:textId="77777777" w:rsidR="00CA6E26" w:rsidRDefault="00CA6E26" w:rsidP="00CA6E2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Wyczółki 71; 02-820 Warszawa</w:t>
            </w:r>
          </w:p>
          <w:p w14:paraId="25134A4B" w14:textId="77777777" w:rsidR="00CA6E26" w:rsidRDefault="00CA6E26" w:rsidP="00CA6E2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DS.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Comp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Sylwia Dulak</w:t>
            </w:r>
          </w:p>
          <w:p w14:paraId="309B6286" w14:textId="7015F51C" w:rsidR="00CA6E26" w:rsidRPr="00B0521D" w:rsidRDefault="00CA6E26" w:rsidP="00CA6E2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oś. Kościuszkowskie 6/229; 31-858 Kraków</w:t>
            </w:r>
          </w:p>
        </w:tc>
      </w:tr>
    </w:tbl>
    <w:p w14:paraId="341F9A6F" w14:textId="008A86E3" w:rsidR="007164B2" w:rsidRPr="001A6C03" w:rsidRDefault="007164B2" w:rsidP="004472D9">
      <w:pPr>
        <w:jc w:val="both"/>
        <w:rPr>
          <w:rFonts w:ascii="Garamond" w:hAnsi="Garamond"/>
        </w:rPr>
      </w:pPr>
    </w:p>
    <w:p w14:paraId="3AD9A7B7" w14:textId="644E7E13" w:rsidR="00185E19" w:rsidRDefault="00A566F4" w:rsidP="00185E19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3247815C" w14:textId="77777777" w:rsidR="009C00F1" w:rsidRPr="009C00F1" w:rsidRDefault="009C00F1" w:rsidP="009C00F1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2"/>
        <w:gridCol w:w="1979"/>
        <w:gridCol w:w="1701"/>
        <w:gridCol w:w="1134"/>
      </w:tblGrid>
      <w:tr w:rsidR="00CA6E26" w:rsidRPr="00185E19" w14:paraId="4E1E30BB" w14:textId="4DD27F8C" w:rsidTr="00CA6E26">
        <w:trPr>
          <w:cantSplit/>
          <w:trHeight w:val="102"/>
        </w:trPr>
        <w:tc>
          <w:tcPr>
            <w:tcW w:w="383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EA69F4" w14:textId="77777777" w:rsidR="00CA6E26" w:rsidRPr="00185E19" w:rsidRDefault="00CA6E26" w:rsidP="00185E19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FAE20" w14:textId="32549383" w:rsidR="00CA6E26" w:rsidRPr="00185E19" w:rsidRDefault="00CA6E26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185E19">
              <w:rPr>
                <w:rFonts w:ascii="Garamond" w:hAnsi="Garamond"/>
                <w:color w:val="000000"/>
              </w:rPr>
              <w:t xml:space="preserve">Liczba punktów  w kryterium </w:t>
            </w:r>
            <w:r w:rsidRPr="00CA6E26">
              <w:rPr>
                <w:rFonts w:ascii="Garamond" w:hAnsi="Garamond"/>
                <w:color w:val="000000"/>
              </w:rPr>
              <w:t xml:space="preserve">Pojemność pamięci masowej </w:t>
            </w:r>
            <w:r>
              <w:rPr>
                <w:rFonts w:ascii="Garamond" w:hAnsi="Garamond"/>
                <w:color w:val="000000"/>
              </w:rPr>
              <w:t>(2</w:t>
            </w:r>
            <w:r w:rsidRPr="00185E19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B7910B" w14:textId="2DB43800" w:rsidR="00CA6E26" w:rsidRPr="0003377E" w:rsidRDefault="00CA6E26" w:rsidP="000103D6">
            <w:pPr>
              <w:widowControl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 punktów  w </w:t>
            </w:r>
            <w:r w:rsidRPr="000103D6">
              <w:rPr>
                <w:rFonts w:ascii="Garamond" w:hAnsi="Garamond"/>
              </w:rPr>
              <w:t>kryterium</w:t>
            </w:r>
            <w:r>
              <w:rPr>
                <w:rFonts w:ascii="Garamond" w:hAnsi="Garamond"/>
              </w:rPr>
              <w:t xml:space="preserve"> Cena (80%)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7408A2" w14:textId="432459B2" w:rsidR="00CA6E26" w:rsidRPr="00185E19" w:rsidRDefault="00CA6E26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>Łączna ilość punktów</w:t>
            </w:r>
          </w:p>
        </w:tc>
      </w:tr>
      <w:tr w:rsidR="00CA6E26" w:rsidRPr="00185E19" w14:paraId="58476A61" w14:textId="02DCB7ED" w:rsidTr="00CA6E26">
        <w:trPr>
          <w:cantSplit/>
          <w:trHeight w:val="6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17578A" w14:textId="77777777" w:rsidR="00CA6E26" w:rsidRPr="000771A5" w:rsidRDefault="00CA6E26" w:rsidP="00CA6E26">
            <w:pPr>
              <w:widowControl/>
              <w:jc w:val="both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0771A5">
              <w:rPr>
                <w:rFonts w:ascii="Garamond" w:hAnsi="Garamond"/>
                <w:color w:val="000000"/>
                <w:lang w:val="en-US"/>
              </w:rPr>
              <w:t>Konsorcjum</w:t>
            </w:r>
            <w:proofErr w:type="spellEnd"/>
            <w:r w:rsidRPr="000771A5">
              <w:rPr>
                <w:rFonts w:ascii="Garamond" w:hAnsi="Garamond"/>
                <w:color w:val="000000"/>
                <w:lang w:val="en-US"/>
              </w:rPr>
              <w:t>:</w:t>
            </w:r>
          </w:p>
          <w:p w14:paraId="33862C6A" w14:textId="77777777" w:rsidR="00CA6E26" w:rsidRPr="000771A5" w:rsidRDefault="00CA6E26" w:rsidP="00CA6E26">
            <w:pPr>
              <w:widowControl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0771A5">
              <w:rPr>
                <w:rFonts w:ascii="Garamond" w:hAnsi="Garamond"/>
                <w:color w:val="000000"/>
                <w:lang w:val="en-US"/>
              </w:rPr>
              <w:t xml:space="preserve">Data Experts Sp. z o. o. </w:t>
            </w:r>
          </w:p>
          <w:p w14:paraId="3D62ABE9" w14:textId="77777777" w:rsidR="00CA6E26" w:rsidRPr="00CA6E26" w:rsidRDefault="00CA6E26" w:rsidP="00CA6E26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CA6E26">
              <w:rPr>
                <w:rFonts w:ascii="Garamond" w:hAnsi="Garamond"/>
                <w:color w:val="000000"/>
              </w:rPr>
              <w:t>ul. Wyczółki 71; 02-820 Warszawa</w:t>
            </w:r>
          </w:p>
          <w:p w14:paraId="0D69D57A" w14:textId="77777777" w:rsidR="00CA6E26" w:rsidRPr="00CA6E26" w:rsidRDefault="00CA6E26" w:rsidP="00CA6E26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CA6E26">
              <w:rPr>
                <w:rFonts w:ascii="Garamond" w:hAnsi="Garamond"/>
                <w:color w:val="000000"/>
              </w:rPr>
              <w:t xml:space="preserve">DS. </w:t>
            </w:r>
            <w:proofErr w:type="spellStart"/>
            <w:r w:rsidRPr="00CA6E26">
              <w:rPr>
                <w:rFonts w:ascii="Garamond" w:hAnsi="Garamond"/>
                <w:color w:val="000000"/>
              </w:rPr>
              <w:t>Comp</w:t>
            </w:r>
            <w:proofErr w:type="spellEnd"/>
            <w:r w:rsidRPr="00CA6E26">
              <w:rPr>
                <w:rFonts w:ascii="Garamond" w:hAnsi="Garamond"/>
                <w:color w:val="000000"/>
              </w:rPr>
              <w:t xml:space="preserve"> Sylwia Dulak</w:t>
            </w:r>
          </w:p>
          <w:p w14:paraId="67D9FA81" w14:textId="302F55E7" w:rsidR="00CA6E26" w:rsidRPr="00185E19" w:rsidRDefault="00CA6E26" w:rsidP="00CA6E26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CA6E26">
              <w:rPr>
                <w:rFonts w:ascii="Garamond" w:hAnsi="Garamond"/>
                <w:color w:val="000000"/>
              </w:rPr>
              <w:t>oś. Kościuszkowskie 6/229; 31-858 Kraków</w:t>
            </w:r>
          </w:p>
        </w:tc>
        <w:tc>
          <w:tcPr>
            <w:tcW w:w="1979" w:type="dxa"/>
            <w:vAlign w:val="center"/>
          </w:tcPr>
          <w:p w14:paraId="306C0CEB" w14:textId="197D2126" w:rsidR="00CA6E26" w:rsidRPr="00185E19" w:rsidRDefault="00CA6E26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20,00</w:t>
            </w:r>
          </w:p>
        </w:tc>
        <w:tc>
          <w:tcPr>
            <w:tcW w:w="1701" w:type="dxa"/>
            <w:vAlign w:val="center"/>
          </w:tcPr>
          <w:p w14:paraId="5F230F53" w14:textId="0AC85262" w:rsidR="00CA6E26" w:rsidRPr="0003377E" w:rsidRDefault="00CA6E26" w:rsidP="000103D6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80,00</w:t>
            </w:r>
          </w:p>
        </w:tc>
        <w:tc>
          <w:tcPr>
            <w:tcW w:w="1134" w:type="dxa"/>
            <w:vAlign w:val="center"/>
          </w:tcPr>
          <w:p w14:paraId="6888AE3A" w14:textId="10562F61" w:rsidR="00CA6E26" w:rsidRDefault="00CA6E26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3E74A3CA" w14:textId="6F3B8C5C" w:rsidR="00185E19" w:rsidRPr="00542DC1" w:rsidRDefault="00185E19" w:rsidP="00185E19">
      <w:pPr>
        <w:widowControl/>
        <w:jc w:val="both"/>
        <w:rPr>
          <w:rFonts w:ascii="Garamond" w:hAnsi="Garamond"/>
          <w:color w:val="000000"/>
        </w:rPr>
      </w:pPr>
    </w:p>
    <w:p w14:paraId="6EE9F994" w14:textId="7AC01379" w:rsidR="00A566F4" w:rsidRDefault="00A566F4" w:rsidP="0003377E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</w:t>
      </w:r>
      <w:r w:rsidR="000103D6">
        <w:rPr>
          <w:rFonts w:ascii="Garamond" w:eastAsia="Times New Roman" w:hAnsi="Garamond" w:cs="Arial"/>
          <w:lang w:eastAsia="pl-PL"/>
        </w:rPr>
        <w:t xml:space="preserve">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0058A649" w:rsidR="00DA3C83" w:rsidRDefault="00DA3C83" w:rsidP="00B6296F">
      <w:pPr>
        <w:ind w:left="284"/>
        <w:jc w:val="both"/>
        <w:rPr>
          <w:rFonts w:ascii="Garamond" w:hAnsi="Garamond"/>
        </w:rPr>
      </w:pPr>
    </w:p>
    <w:p w14:paraId="63EFF5D1" w14:textId="07B62EB8" w:rsidR="00CA6E26" w:rsidRDefault="00CA6E26" w:rsidP="00B6296F">
      <w:pPr>
        <w:ind w:left="284"/>
        <w:jc w:val="both"/>
        <w:rPr>
          <w:rFonts w:ascii="Garamond" w:hAnsi="Garamond"/>
        </w:rPr>
      </w:pPr>
    </w:p>
    <w:p w14:paraId="732AF7E5" w14:textId="52750F17" w:rsidR="00CA6E26" w:rsidRDefault="00CA6E26" w:rsidP="00B6296F">
      <w:pPr>
        <w:ind w:left="284"/>
        <w:jc w:val="both"/>
        <w:rPr>
          <w:rFonts w:ascii="Garamond" w:hAnsi="Garamond"/>
        </w:rPr>
      </w:pPr>
    </w:p>
    <w:p w14:paraId="6FD0CBC8" w14:textId="38269D1C" w:rsidR="00CA6E26" w:rsidRDefault="00CA6E26" w:rsidP="00B6296F">
      <w:pPr>
        <w:ind w:left="284"/>
        <w:jc w:val="both"/>
        <w:rPr>
          <w:rFonts w:ascii="Garamond" w:hAnsi="Garamond"/>
        </w:rPr>
      </w:pPr>
    </w:p>
    <w:p w14:paraId="3C6612EA" w14:textId="77777777" w:rsidR="00CA6E26" w:rsidRPr="00B6296F" w:rsidRDefault="00CA6E26" w:rsidP="00B6296F">
      <w:pPr>
        <w:ind w:left="284"/>
        <w:jc w:val="both"/>
        <w:rPr>
          <w:rFonts w:ascii="Garamond" w:hAnsi="Garamond"/>
        </w:rPr>
      </w:pPr>
    </w:p>
    <w:p w14:paraId="121CB885" w14:textId="72DF8A93" w:rsidR="00CA6E26" w:rsidRDefault="00A566F4" w:rsidP="00CA6E26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lastRenderedPageBreak/>
        <w:t>W postępowaniu</w:t>
      </w:r>
      <w:r w:rsidR="00B5724D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 xml:space="preserve">odrzucono </w:t>
      </w:r>
      <w:r w:rsidR="00CA6E26">
        <w:rPr>
          <w:rFonts w:ascii="Garamond" w:hAnsi="Garamond"/>
        </w:rPr>
        <w:t xml:space="preserve">następujące </w:t>
      </w:r>
      <w:r w:rsidR="00B6296F">
        <w:rPr>
          <w:rFonts w:ascii="Garamond" w:hAnsi="Garamond"/>
        </w:rPr>
        <w:t>ofert</w:t>
      </w:r>
      <w:r w:rsidR="000103D6">
        <w:rPr>
          <w:rFonts w:ascii="Garamond" w:hAnsi="Garamond"/>
        </w:rPr>
        <w:t>y.</w:t>
      </w:r>
    </w:p>
    <w:p w14:paraId="04D41574" w14:textId="5747B3EB" w:rsidR="00CA6E26" w:rsidRDefault="00CA6E26" w:rsidP="00CA6E26">
      <w:pPr>
        <w:widowControl/>
        <w:jc w:val="both"/>
        <w:rPr>
          <w:rFonts w:ascii="Garamond" w:hAnsi="Garamond"/>
        </w:rPr>
      </w:pPr>
    </w:p>
    <w:p w14:paraId="03B64A3B" w14:textId="77777777" w:rsidR="00CA6E26" w:rsidRPr="00CA6E26" w:rsidRDefault="00CA6E26" w:rsidP="00CA6E26">
      <w:pPr>
        <w:widowControl/>
        <w:ind w:left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 xml:space="preserve">Oferta nr: 1 </w:t>
      </w:r>
    </w:p>
    <w:p w14:paraId="5832C479" w14:textId="2D42E800" w:rsidR="00CA6E26" w:rsidRPr="00CA6E26" w:rsidRDefault="00CA6E26" w:rsidP="00526FA9">
      <w:pPr>
        <w:widowControl/>
        <w:ind w:left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>Nazwa/Adres: Zakład Systemów Komputerowych ZSK Sp. z o. o.; u</w:t>
      </w:r>
      <w:r w:rsidR="00526FA9">
        <w:rPr>
          <w:rFonts w:ascii="Garamond" w:hAnsi="Garamond"/>
        </w:rPr>
        <w:t xml:space="preserve">l. dr. Józefa Babińskiego 62A; </w:t>
      </w:r>
      <w:r w:rsidRPr="00CA6E26">
        <w:rPr>
          <w:rFonts w:ascii="Garamond" w:hAnsi="Garamond"/>
        </w:rPr>
        <w:t>30-393 Kraków</w:t>
      </w:r>
    </w:p>
    <w:p w14:paraId="2EA83319" w14:textId="77777777" w:rsidR="00CA6E26" w:rsidRPr="00CA6E26" w:rsidRDefault="00CA6E26" w:rsidP="00CA6E26">
      <w:pPr>
        <w:widowControl/>
        <w:ind w:left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>Uzasadnienie prawne: art. 226 ust. 1 pkt 5 ustawy z dnia 11 września 2019 r Prawo zamówień publicznych.</w:t>
      </w:r>
    </w:p>
    <w:p w14:paraId="05BD0819" w14:textId="77777777" w:rsidR="00CA6E26" w:rsidRPr="00CA6E26" w:rsidRDefault="00CA6E26" w:rsidP="00CA6E26">
      <w:pPr>
        <w:widowControl/>
        <w:ind w:left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>Uzasadnienie faktyczne: treść oferty jest niezgodna z warunkami zamówienia.</w:t>
      </w:r>
    </w:p>
    <w:p w14:paraId="3FEC5B88" w14:textId="77777777" w:rsidR="00CA6E26" w:rsidRPr="00CA6E26" w:rsidRDefault="00CA6E26" w:rsidP="00CA6E26">
      <w:pPr>
        <w:widowControl/>
        <w:ind w:left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>Zamawiający zgodnie z pkt. 10.2.3 SWZ wymagał złożenia przedmiotowych środków dowodowych potwierdzających, że oferowane dostawy spełniają wymagania Zamawiającego wraz z ofertą (tj. do upływu terminu składania ofert). Wykonawca nie złożył niniejszych przedmiotowych środków dowodowych do upływu terminu składania ofert. Po wezwaniu zamawiającego do uzupełnienia przedmiotowe dokumenty nie zostały uzupełnione.</w:t>
      </w:r>
    </w:p>
    <w:p w14:paraId="69804FF0" w14:textId="77777777" w:rsidR="00CA6E26" w:rsidRPr="00CA6E26" w:rsidRDefault="00CA6E26" w:rsidP="00CA6E26">
      <w:pPr>
        <w:widowControl/>
        <w:ind w:left="284"/>
        <w:jc w:val="both"/>
        <w:rPr>
          <w:rFonts w:ascii="Garamond" w:hAnsi="Garamond"/>
        </w:rPr>
      </w:pPr>
    </w:p>
    <w:p w14:paraId="7A879ABA" w14:textId="77777777" w:rsidR="00CA6E26" w:rsidRPr="00CA6E26" w:rsidRDefault="00CA6E26" w:rsidP="00CA6E26">
      <w:pPr>
        <w:widowControl/>
        <w:ind w:left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 xml:space="preserve">Oferta nr: 2 </w:t>
      </w:r>
    </w:p>
    <w:p w14:paraId="3F47CB08" w14:textId="77777777" w:rsidR="00CA6E26" w:rsidRPr="00CA6E26" w:rsidRDefault="00CA6E26" w:rsidP="00CA6E26">
      <w:pPr>
        <w:widowControl/>
        <w:ind w:left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 xml:space="preserve">Nazwa/Adres: </w:t>
      </w:r>
      <w:proofErr w:type="spellStart"/>
      <w:r w:rsidRPr="00CA6E26">
        <w:rPr>
          <w:rFonts w:ascii="Garamond" w:hAnsi="Garamond"/>
        </w:rPr>
        <w:t>Dabacom</w:t>
      </w:r>
      <w:proofErr w:type="spellEnd"/>
      <w:r w:rsidRPr="00CA6E26">
        <w:rPr>
          <w:rFonts w:ascii="Garamond" w:hAnsi="Garamond"/>
        </w:rPr>
        <w:t xml:space="preserve"> Bartosz Raczyński; Ojcowska 17; 80-146 Gdańsk</w:t>
      </w:r>
    </w:p>
    <w:p w14:paraId="4044B651" w14:textId="77777777" w:rsidR="00CA6E26" w:rsidRPr="00CA6E26" w:rsidRDefault="00CA6E26" w:rsidP="00CA6E26">
      <w:pPr>
        <w:widowControl/>
        <w:ind w:left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>Uzasadnienie prawne: art. 226 ust. 1 pkt. 3, art. 226 ust. 1 pkt. 4 oraz art. 226 ust. 1 pkt. 6 ustawy z dnia 11 września 2019 r  Prawo zamówień publicznych w związku z art. 78</w:t>
      </w:r>
      <w:r w:rsidRPr="00C074BC">
        <w:rPr>
          <w:rFonts w:ascii="Garamond" w:hAnsi="Garamond"/>
          <w:vertAlign w:val="superscript"/>
        </w:rPr>
        <w:t>1</w:t>
      </w:r>
      <w:r w:rsidRPr="00CA6E26">
        <w:rPr>
          <w:rFonts w:ascii="Garamond" w:hAnsi="Garamond"/>
        </w:rPr>
        <w:t xml:space="preserve"> § 1 Kodeksu cywilnego.  </w:t>
      </w:r>
    </w:p>
    <w:p w14:paraId="2713150C" w14:textId="2D8FCA82" w:rsidR="00CA6E26" w:rsidRPr="00CA6E26" w:rsidRDefault="00CA6E26" w:rsidP="00CA6E26">
      <w:pPr>
        <w:widowControl/>
        <w:ind w:left="284"/>
        <w:jc w:val="both"/>
        <w:rPr>
          <w:rFonts w:ascii="Garamond" w:hAnsi="Garamond"/>
        </w:rPr>
      </w:pPr>
      <w:r w:rsidRPr="00C074BC">
        <w:rPr>
          <w:rFonts w:ascii="Garamond" w:hAnsi="Garamond"/>
        </w:rPr>
        <w:t>Uzasadnienie faktyczne: oferta jest niezgodna z przepisami ustawy; jest nieważna na podstawie odrębnych przepisów, nie została przekazana w sposób zgodny z wymaganiami technicznymi oraz organizacyjnymi sporządzania lub przekazywania ofert przy użyciu środków komunikacji elektronicznej określonymi przez zamawiającego oraz jest niezgodna z Rozporządzeniem Prezesa Rady Ministrów z dnia 30.12.2020 r. w sprawie sposobu sporządzania i przekazywania informacji oraz wymagań technicznych dla dokumentów elektronicznych oraz środków komunikacji elektronicznej w postępowaniu o udzielenie zamówienia publicznego lub konkursie.</w:t>
      </w:r>
    </w:p>
    <w:p w14:paraId="221B3C1C" w14:textId="753FB87D" w:rsidR="00CA6E26" w:rsidRPr="000771A5" w:rsidRDefault="00CA6E26" w:rsidP="00CA6E26">
      <w:pPr>
        <w:widowControl/>
        <w:ind w:left="284"/>
        <w:jc w:val="both"/>
        <w:rPr>
          <w:rFonts w:ascii="Garamond" w:hAnsi="Garamond"/>
          <w:color w:val="FF0000"/>
        </w:rPr>
      </w:pPr>
      <w:r w:rsidRPr="00CA6E26">
        <w:rPr>
          <w:rFonts w:ascii="Garamond" w:hAnsi="Garamond"/>
        </w:rPr>
        <w:t xml:space="preserve">Zamawiający zgodnie z pkt. 10.2.3 SWZ wymagał złożenia przedmiotowych środków dowodowych potwierdzających, że oferowane dostawy spełniają wymagania Zamawiającego wraz z ofertą (tj. do upływu terminu składania ofert). Wykonawca nie złożył niniejszych przedmiotowych środków dowodowych do upływu terminu składania ofert. Po wezwaniu zamawiającego do uzupełnienia </w:t>
      </w:r>
      <w:r w:rsidRPr="00C074BC">
        <w:rPr>
          <w:rFonts w:ascii="Garamond" w:hAnsi="Garamond"/>
        </w:rPr>
        <w:t xml:space="preserve">Wykonawca złożył pismo, </w:t>
      </w:r>
      <w:r w:rsidR="000771A5" w:rsidRPr="00C074BC">
        <w:rPr>
          <w:rFonts w:ascii="Garamond" w:hAnsi="Garamond"/>
        </w:rPr>
        <w:t xml:space="preserve">zawierające linki do stron internetowych, pod którymi została umieszczona dokumentacja techniczna.  Wykonawca nie przekazał przedmiotowych środków dowodowych w sposób określony w pkt. </w:t>
      </w:r>
      <w:r w:rsidR="00C074BC" w:rsidRPr="00C074BC">
        <w:rPr>
          <w:rFonts w:ascii="Garamond" w:hAnsi="Garamond"/>
        </w:rPr>
        <w:t xml:space="preserve">11 </w:t>
      </w:r>
      <w:r w:rsidR="000771A5" w:rsidRPr="00C074BC">
        <w:rPr>
          <w:rFonts w:ascii="Garamond" w:hAnsi="Garamond"/>
        </w:rPr>
        <w:t>SWZ.</w:t>
      </w:r>
    </w:p>
    <w:p w14:paraId="74CE21B9" w14:textId="7B1F7EB6" w:rsidR="00CA6E26" w:rsidRDefault="00CA6E26" w:rsidP="00CA6E26">
      <w:pPr>
        <w:widowControl/>
        <w:ind w:left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 xml:space="preserve">W związku z powyższym, oferta </w:t>
      </w:r>
      <w:proofErr w:type="spellStart"/>
      <w:r w:rsidRPr="00CA6E26">
        <w:rPr>
          <w:rFonts w:ascii="Garamond" w:hAnsi="Garamond"/>
        </w:rPr>
        <w:t>Dabacom</w:t>
      </w:r>
      <w:proofErr w:type="spellEnd"/>
      <w:r w:rsidRPr="00CA6E26">
        <w:rPr>
          <w:rFonts w:ascii="Garamond" w:hAnsi="Garamond"/>
        </w:rPr>
        <w:t xml:space="preserve"> Bartosz Raczyński; złożona w niniejszym postępowaniu jest </w:t>
      </w:r>
      <w:r w:rsidRPr="00C074BC">
        <w:rPr>
          <w:rFonts w:ascii="Garamond" w:hAnsi="Garamond"/>
        </w:rPr>
        <w:t>niezgodna z przepisami ustawy</w:t>
      </w:r>
      <w:r w:rsidR="00C074BC" w:rsidRPr="00C074BC">
        <w:rPr>
          <w:rFonts w:ascii="Garamond" w:hAnsi="Garamond"/>
        </w:rPr>
        <w:t xml:space="preserve"> tj. art. 67</w:t>
      </w:r>
      <w:r w:rsidR="00C074BC" w:rsidRPr="00C074BC">
        <w:t xml:space="preserve"> </w:t>
      </w:r>
      <w:r w:rsidR="00C074BC" w:rsidRPr="00C074BC">
        <w:rPr>
          <w:rFonts w:ascii="Garamond" w:hAnsi="Garamond"/>
        </w:rPr>
        <w:t>ustawy z dnia 11 września 2019 r Prawo zamówień publicznych</w:t>
      </w:r>
      <w:r w:rsidRPr="00C074BC">
        <w:rPr>
          <w:rFonts w:ascii="Garamond" w:hAnsi="Garamond"/>
        </w:rPr>
        <w:t>; jest nieważna na podstawie odrębnych przepisów</w:t>
      </w:r>
      <w:r w:rsidR="00C074BC" w:rsidRPr="00C074BC">
        <w:rPr>
          <w:rFonts w:ascii="Garamond" w:hAnsi="Garamond"/>
        </w:rPr>
        <w:t xml:space="preserve"> tj. art. 781 § 1 Kodeksu cywilnego</w:t>
      </w:r>
      <w:r w:rsidRPr="00C074BC">
        <w:rPr>
          <w:rFonts w:ascii="Garamond" w:hAnsi="Garamond"/>
        </w:rPr>
        <w:t>, nie została przekazana w sposób zgodny z wymaganiami technicznymi oraz organizacyjnymi sporządzania lub przekazywania ofert przy użyciu środków komunikacji elektronicznej określonymi przez zamawiającego oraz jest niezgodna z</w:t>
      </w:r>
      <w:r w:rsidR="00C074BC" w:rsidRPr="00C074BC">
        <w:rPr>
          <w:rFonts w:ascii="Garamond" w:hAnsi="Garamond"/>
        </w:rPr>
        <w:t xml:space="preserve"> § 3</w:t>
      </w:r>
      <w:r w:rsidRPr="00C074BC">
        <w:rPr>
          <w:rFonts w:ascii="Garamond" w:hAnsi="Garamond"/>
        </w:rPr>
        <w:t xml:space="preserve"> R</w:t>
      </w:r>
      <w:r w:rsidR="00C074BC" w:rsidRPr="00C074BC">
        <w:rPr>
          <w:rFonts w:ascii="Garamond" w:hAnsi="Garamond"/>
        </w:rPr>
        <w:t>ozporządzenia</w:t>
      </w:r>
      <w:r w:rsidRPr="00C074BC">
        <w:rPr>
          <w:rFonts w:ascii="Garamond" w:hAnsi="Garamond"/>
        </w:rPr>
        <w:t xml:space="preserve"> Prezesa Rady Ministrów z dnia 30.12.2020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7B401995" w14:textId="77777777" w:rsidR="00CA6E26" w:rsidRDefault="00CA6E26" w:rsidP="00CA6E26">
      <w:pPr>
        <w:widowControl/>
        <w:jc w:val="both"/>
        <w:rPr>
          <w:rFonts w:ascii="Garamond" w:hAnsi="Garamond"/>
        </w:rPr>
      </w:pPr>
    </w:p>
    <w:p w14:paraId="701887E8" w14:textId="22F0B0DE" w:rsidR="00CA6E26" w:rsidRPr="00CA6E26" w:rsidRDefault="00CA6E26" w:rsidP="00CA6E26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CA6E26">
        <w:rPr>
          <w:rFonts w:ascii="Garamond" w:hAnsi="Garamond"/>
        </w:rPr>
        <w:t>Zgodnie z ustawą Pzp umowa w sprawie zamówienia publicznego może zostać zawarta w terminie nie krótszym niż 10 dni od przesłania zawiadomienia o 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B53C" w14:textId="77777777" w:rsidR="00CA0674" w:rsidRDefault="00CA0674" w:rsidP="00E22E7B">
      <w:r>
        <w:separator/>
      </w:r>
    </w:p>
  </w:endnote>
  <w:endnote w:type="continuationSeparator" w:id="0">
    <w:p w14:paraId="263E00A9" w14:textId="77777777" w:rsidR="00CA0674" w:rsidRDefault="00CA067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DD5E4" w14:textId="77777777" w:rsidR="00CA0674" w:rsidRDefault="00CA0674" w:rsidP="00E22E7B">
      <w:r>
        <w:separator/>
      </w:r>
    </w:p>
  </w:footnote>
  <w:footnote w:type="continuationSeparator" w:id="0">
    <w:p w14:paraId="004DF538" w14:textId="77777777" w:rsidR="00CA0674" w:rsidRDefault="00CA067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103D6"/>
    <w:rsid w:val="00023D67"/>
    <w:rsid w:val="0003377E"/>
    <w:rsid w:val="0003758A"/>
    <w:rsid w:val="00050168"/>
    <w:rsid w:val="00051CAD"/>
    <w:rsid w:val="00072C67"/>
    <w:rsid w:val="00074020"/>
    <w:rsid w:val="000771A5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359C"/>
    <w:rsid w:val="00164512"/>
    <w:rsid w:val="00167739"/>
    <w:rsid w:val="00170D70"/>
    <w:rsid w:val="0018581F"/>
    <w:rsid w:val="00185E19"/>
    <w:rsid w:val="001959F3"/>
    <w:rsid w:val="001A6C03"/>
    <w:rsid w:val="001A751B"/>
    <w:rsid w:val="001D1352"/>
    <w:rsid w:val="001D3521"/>
    <w:rsid w:val="002116FC"/>
    <w:rsid w:val="00221170"/>
    <w:rsid w:val="002345CB"/>
    <w:rsid w:val="00256236"/>
    <w:rsid w:val="00263815"/>
    <w:rsid w:val="00265899"/>
    <w:rsid w:val="00284FD2"/>
    <w:rsid w:val="002B1CC3"/>
    <w:rsid w:val="002C55E2"/>
    <w:rsid w:val="002D1194"/>
    <w:rsid w:val="002E0161"/>
    <w:rsid w:val="002E2F8D"/>
    <w:rsid w:val="002F75E8"/>
    <w:rsid w:val="00336555"/>
    <w:rsid w:val="003366C5"/>
    <w:rsid w:val="00337887"/>
    <w:rsid w:val="003A78DE"/>
    <w:rsid w:val="003B34DE"/>
    <w:rsid w:val="003B4B2D"/>
    <w:rsid w:val="003B6BF5"/>
    <w:rsid w:val="003C5107"/>
    <w:rsid w:val="003D3A99"/>
    <w:rsid w:val="003F2563"/>
    <w:rsid w:val="003F447D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5D92"/>
    <w:rsid w:val="004D6476"/>
    <w:rsid w:val="00526FA9"/>
    <w:rsid w:val="0053175B"/>
    <w:rsid w:val="00537C6D"/>
    <w:rsid w:val="00542DC1"/>
    <w:rsid w:val="0055593C"/>
    <w:rsid w:val="00562927"/>
    <w:rsid w:val="005648AF"/>
    <w:rsid w:val="00570957"/>
    <w:rsid w:val="0058140F"/>
    <w:rsid w:val="00581D85"/>
    <w:rsid w:val="00596975"/>
    <w:rsid w:val="005A0B34"/>
    <w:rsid w:val="005A0FC7"/>
    <w:rsid w:val="005A4607"/>
    <w:rsid w:val="005B056F"/>
    <w:rsid w:val="005B0845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710AA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44C1"/>
    <w:rsid w:val="008066A3"/>
    <w:rsid w:val="008132EA"/>
    <w:rsid w:val="008174CA"/>
    <w:rsid w:val="008577A4"/>
    <w:rsid w:val="00861427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9009BF"/>
    <w:rsid w:val="00902FC5"/>
    <w:rsid w:val="00914D98"/>
    <w:rsid w:val="009353F7"/>
    <w:rsid w:val="00957E08"/>
    <w:rsid w:val="00972EBB"/>
    <w:rsid w:val="0098718D"/>
    <w:rsid w:val="00994717"/>
    <w:rsid w:val="009972B2"/>
    <w:rsid w:val="009A0A57"/>
    <w:rsid w:val="009A5839"/>
    <w:rsid w:val="009B1B59"/>
    <w:rsid w:val="009B3680"/>
    <w:rsid w:val="009C00F1"/>
    <w:rsid w:val="009C39EE"/>
    <w:rsid w:val="009D0BD6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65A8"/>
    <w:rsid w:val="00A75A44"/>
    <w:rsid w:val="00A9035F"/>
    <w:rsid w:val="00A93376"/>
    <w:rsid w:val="00A93F15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074BC"/>
    <w:rsid w:val="00C2324F"/>
    <w:rsid w:val="00C24193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A0674"/>
    <w:rsid w:val="00CA6E26"/>
    <w:rsid w:val="00CD674C"/>
    <w:rsid w:val="00CE118E"/>
    <w:rsid w:val="00D041A2"/>
    <w:rsid w:val="00D3316E"/>
    <w:rsid w:val="00D344E5"/>
    <w:rsid w:val="00D50393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15084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C6059"/>
    <w:rsid w:val="00FD05B9"/>
    <w:rsid w:val="00FE3374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03D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12C1B9-674F-423A-8076-3B2F218B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</cp:revision>
  <cp:lastPrinted>2021-06-25T09:19:00Z</cp:lastPrinted>
  <dcterms:created xsi:type="dcterms:W3CDTF">2021-07-05T08:54:00Z</dcterms:created>
  <dcterms:modified xsi:type="dcterms:W3CDTF">2021-07-06T06:01:00Z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