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1C113" w14:textId="77777777" w:rsidR="001F330F" w:rsidRDefault="001F330F"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11</w:t>
      </w:r>
    </w:p>
    <w:p w14:paraId="4838D2AA"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46F698A7"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7D4B10C9" w14:textId="18394731" w:rsidR="008A7CF8" w:rsidRDefault="001F330F" w:rsidP="001F330F">
      <w:pPr>
        <w:tabs>
          <w:tab w:val="center" w:pos="7002"/>
          <w:tab w:val="left" w:pos="11430"/>
        </w:tabs>
        <w:spacing w:before="100" w:beforeAutospacing="1" w:after="100" w:afterAutospacing="1" w:line="288" w:lineRule="auto"/>
        <w:ind w:left="5954" w:hanging="425"/>
        <w:rPr>
          <w:rFonts w:ascii="Century Gothic" w:hAnsi="Century Gothic" w:cs="Times New Roman"/>
          <w:b/>
          <w:sz w:val="18"/>
          <w:szCs w:val="18"/>
        </w:rPr>
      </w:pPr>
      <w:r>
        <w:rPr>
          <w:rFonts w:ascii="Century Gothic" w:hAnsi="Century Gothic" w:cs="Times New Roman"/>
          <w:b/>
          <w:sz w:val="18"/>
          <w:szCs w:val="18"/>
        </w:rPr>
        <w:t xml:space="preserve">            Pletyzmograf - 1</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p>
    <w:p w14:paraId="43CFF238"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664F61B6"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8C2A49"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A7276B">
              <w:rPr>
                <w:rFonts w:ascii="Century Gothic" w:hAnsi="Century Gothic" w:cs="Times New Roman"/>
                <w:b/>
                <w:sz w:val="18"/>
                <w:szCs w:val="18"/>
              </w:rPr>
              <w:t xml:space="preserve">            Pletyzmograf</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B3EE11F"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37ADBB7A"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648246"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40E67446"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640767C9" w14:textId="7E0494D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 xml:space="preserve">Cena jednostkowa brutto </w:t>
            </w:r>
            <w:r w:rsidR="002A2069" w:rsidRPr="002A2069">
              <w:rPr>
                <w:rFonts w:ascii="Century Gothic" w:eastAsia="Times New Roman" w:hAnsi="Century Gothic" w:cs="Times New Roman"/>
                <w:bCs/>
                <w:sz w:val="18"/>
                <w:szCs w:val="18"/>
              </w:rPr>
              <w:t xml:space="preserve">wraz z dostawą </w:t>
            </w:r>
            <w:r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0B25795E"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512BF50F"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1EFE173B"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14CDF918" w14:textId="77777777" w:rsidR="008A7CF8" w:rsidRPr="00FE19DB" w:rsidRDefault="00A7276B"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w:t>
            </w:r>
          </w:p>
        </w:tc>
        <w:tc>
          <w:tcPr>
            <w:tcW w:w="3379" w:type="dxa"/>
            <w:tcBorders>
              <w:top w:val="nil"/>
              <w:left w:val="single" w:sz="8" w:space="0" w:color="auto"/>
              <w:bottom w:val="single" w:sz="8" w:space="0" w:color="auto"/>
              <w:right w:val="single" w:sz="8" w:space="0" w:color="auto"/>
            </w:tcBorders>
            <w:vAlign w:val="center"/>
          </w:tcPr>
          <w:p w14:paraId="3CD9CC36"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0A7BF9D4"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3188F38B"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651F63"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871D1C3"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23B9693A"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F3DCD5"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F6BC034"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6F82176A"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06A3D9"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8C88423"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6CC94281" w14:textId="77777777" w:rsidR="001F330F" w:rsidRPr="00814F28" w:rsidRDefault="001F330F" w:rsidP="008A7CF8">
      <w:pPr>
        <w:tabs>
          <w:tab w:val="center" w:pos="7002"/>
          <w:tab w:val="left" w:pos="11430"/>
        </w:tabs>
        <w:spacing w:after="0" w:line="288" w:lineRule="auto"/>
        <w:ind w:left="5954" w:hanging="425"/>
        <w:rPr>
          <w:rFonts w:ascii="Century Gothic" w:hAnsi="Century Gothic" w:cs="Times New Roman"/>
          <w:b/>
          <w:sz w:val="18"/>
          <w:szCs w:val="18"/>
        </w:rPr>
      </w:pPr>
      <w:r w:rsidRPr="00814F28">
        <w:rPr>
          <w:rFonts w:ascii="Century Gothic" w:hAnsi="Century Gothic" w:cs="Times New Roman"/>
          <w:b/>
          <w:sz w:val="18"/>
          <w:szCs w:val="18"/>
        </w:rPr>
        <w:tab/>
      </w:r>
    </w:p>
    <w:p w14:paraId="00093897"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7CCCB7B8" w14:textId="77777777" w:rsidR="001F330F" w:rsidRDefault="001F330F" w:rsidP="001F330F">
      <w:pPr>
        <w:pStyle w:val="Standard"/>
        <w:spacing w:line="288" w:lineRule="auto"/>
        <w:rPr>
          <w:rFonts w:ascii="Century Gothic" w:hAnsi="Century Gothic" w:cs="Times New Roman"/>
          <w:sz w:val="18"/>
          <w:szCs w:val="18"/>
        </w:rPr>
      </w:pPr>
    </w:p>
    <w:p w14:paraId="54B0F6E5"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23FC89C8"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2A3E884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3BFF2F1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47BD4AC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3EACFEB" w14:textId="77777777" w:rsidR="001F330F" w:rsidRDefault="001F330F" w:rsidP="001F330F">
      <w:pPr>
        <w:pStyle w:val="Standard"/>
        <w:spacing w:line="288" w:lineRule="auto"/>
        <w:rPr>
          <w:rFonts w:ascii="Century Gothic" w:hAnsi="Century Gothic" w:cs="Times New Roman"/>
          <w:sz w:val="18"/>
          <w:szCs w:val="18"/>
        </w:rPr>
      </w:pPr>
    </w:p>
    <w:p w14:paraId="22374E7A"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3ECA6B92" w14:textId="77777777" w:rsidR="001F330F" w:rsidRDefault="001F330F" w:rsidP="001F330F">
      <w:pPr>
        <w:pStyle w:val="Standard"/>
        <w:spacing w:line="288" w:lineRule="auto"/>
        <w:rPr>
          <w:rFonts w:ascii="Century Gothic" w:hAnsi="Century Gothic" w:cs="Times New Roman"/>
          <w:sz w:val="18"/>
          <w:szCs w:val="18"/>
        </w:rPr>
      </w:pPr>
    </w:p>
    <w:p w14:paraId="768DA44A"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32E4AC6F" w14:textId="77777777" w:rsidR="001F330F" w:rsidRDefault="001F330F" w:rsidP="001F330F">
      <w:pPr>
        <w:pStyle w:val="Standard"/>
        <w:spacing w:line="288" w:lineRule="auto"/>
        <w:rPr>
          <w:rFonts w:ascii="Century Gothic" w:hAnsi="Century Gothic" w:cs="Times New Roman"/>
          <w:sz w:val="18"/>
          <w:szCs w:val="18"/>
        </w:rPr>
      </w:pPr>
    </w:p>
    <w:p w14:paraId="09B7FA6A"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720E710C" w14:textId="77777777" w:rsidR="001F330F" w:rsidRDefault="001F330F" w:rsidP="001F330F">
      <w:pPr>
        <w:pStyle w:val="Standard"/>
        <w:spacing w:line="288" w:lineRule="auto"/>
        <w:rPr>
          <w:rFonts w:ascii="Century Gothic" w:hAnsi="Century Gothic" w:cs="Times New Roman"/>
          <w:sz w:val="18"/>
          <w:szCs w:val="18"/>
        </w:rPr>
      </w:pPr>
    </w:p>
    <w:p w14:paraId="2F13D092"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26354A95" w14:textId="77777777" w:rsidR="001F330F" w:rsidRPr="00814F28" w:rsidRDefault="001F330F" w:rsidP="001F330F">
      <w:pPr>
        <w:pStyle w:val="Standard"/>
        <w:spacing w:line="288" w:lineRule="auto"/>
        <w:rPr>
          <w:rFonts w:ascii="Century Gothic" w:hAnsi="Century Gothic" w:cs="Times New Roman"/>
          <w:b/>
          <w:bCs/>
          <w:sz w:val="18"/>
          <w:szCs w:val="18"/>
        </w:rPr>
      </w:pPr>
    </w:p>
    <w:p w14:paraId="657AEBED"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37B9CCF9"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55CE6D03" w14:textId="77777777" w:rsidTr="00F04A70">
        <w:tc>
          <w:tcPr>
            <w:tcW w:w="709" w:type="dxa"/>
            <w:vAlign w:val="center"/>
          </w:tcPr>
          <w:p w14:paraId="6DF9392E"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0D1399EB"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440477C1"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7A730778"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29F27710"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1FF366A6"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B3901E0"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509DCE6" w14:textId="77777777" w:rsidR="001F330F" w:rsidRPr="00814F28" w:rsidRDefault="001F330F" w:rsidP="004F13C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Przechowywanie wyników w pamięci pletyzmografu - współpraca z dedykowanym oprogramowaniem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66C140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4964C0"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9AAFE8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DD8CA75"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7B5AD78"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FCCB327"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Zestaw diagnostyczny umożliwiający co najmniej n/w procedury: spirometria, wentylacja, pletyzmografia całego ciała, badanie zdolności dyfuzyjnej płuc, badanie nadaktywności oskrzeli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01C1D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D768437"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BAF86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2A14E06C"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0DBBD13"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8F1622F"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Wszystkie funkcje obsługiwane z jednego stanowiska, posiadające wspólną bazę danych</w:t>
            </w:r>
            <w:r w:rsidR="004F13C0">
              <w:rPr>
                <w:rFonts w:ascii="Century Gothic" w:hAnsi="Century Gothic" w:cs="Times New Roman"/>
                <w:color w:val="000000"/>
                <w:sz w:val="18"/>
                <w:szCs w:val="18"/>
              </w:rPr>
              <w:t>. Należy dostarczyć pełne stanowisko - stację z zainstalowanym oprogramowaniem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508E9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07A6DA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3CD67D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6F3B937"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DF25B48"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6E8A416" w14:textId="77777777" w:rsidR="008E680B" w:rsidRDefault="001F330F" w:rsidP="008E680B">
            <w:pPr>
              <w:spacing w:after="0"/>
              <w:rPr>
                <w:rFonts w:ascii="Century Gothic" w:hAnsi="Century Gothic" w:cs="Times New Roman"/>
                <w:color w:val="FF0000"/>
                <w:sz w:val="18"/>
                <w:szCs w:val="18"/>
              </w:rPr>
            </w:pPr>
            <w:r w:rsidRPr="007B45C7">
              <w:rPr>
                <w:rFonts w:ascii="Century Gothic" w:hAnsi="Century Gothic" w:cs="Times New Roman"/>
                <w:color w:val="000000"/>
                <w:sz w:val="18"/>
                <w:szCs w:val="18"/>
              </w:rPr>
              <w:t>Program spirometryczny wyposażony w graficzne wskaźniki informujące operatora o spełnieniu kryteriów zakończenia manewru</w:t>
            </w:r>
            <w:r w:rsidR="008E680B">
              <w:rPr>
                <w:rFonts w:ascii="Century Gothic" w:hAnsi="Century Gothic" w:cs="Times New Roman"/>
                <w:color w:val="FF0000"/>
                <w:sz w:val="18"/>
                <w:szCs w:val="18"/>
              </w:rPr>
              <w:t>:</w:t>
            </w:r>
          </w:p>
          <w:p w14:paraId="07A165F9" w14:textId="55EBCDFC" w:rsidR="008E680B" w:rsidRPr="004B54EB" w:rsidRDefault="008E680B" w:rsidP="008E680B">
            <w:pPr>
              <w:pStyle w:val="Akapitzlist"/>
              <w:numPr>
                <w:ilvl w:val="0"/>
                <w:numId w:val="35"/>
              </w:numPr>
              <w:spacing w:after="0"/>
              <w:rPr>
                <w:rFonts w:ascii="Century Gothic" w:hAnsi="Century Gothic"/>
                <w:color w:val="0070C0"/>
                <w:sz w:val="18"/>
                <w:szCs w:val="18"/>
              </w:rPr>
            </w:pPr>
            <w:r w:rsidRPr="004B54EB">
              <w:rPr>
                <w:rFonts w:ascii="Century Gothic" w:hAnsi="Century Gothic"/>
                <w:color w:val="0070C0"/>
                <w:sz w:val="18"/>
                <w:szCs w:val="18"/>
              </w:rPr>
              <w:t xml:space="preserve">Czas wydechu (&gt;3 lub &gt;6 sekund) w zależności od wieku pacjenta </w:t>
            </w:r>
          </w:p>
          <w:p w14:paraId="55A4E75F" w14:textId="55CBF264" w:rsidR="008E680B" w:rsidRPr="008E680B" w:rsidRDefault="008E680B" w:rsidP="008E680B">
            <w:pPr>
              <w:pStyle w:val="Akapitzlist"/>
              <w:numPr>
                <w:ilvl w:val="0"/>
                <w:numId w:val="35"/>
              </w:numPr>
              <w:spacing w:after="0"/>
              <w:rPr>
                <w:rFonts w:ascii="Century Gothic" w:hAnsi="Century Gothic"/>
                <w:color w:val="FF0000"/>
                <w:sz w:val="18"/>
                <w:szCs w:val="18"/>
              </w:rPr>
            </w:pPr>
            <w:r w:rsidRPr="004B54EB">
              <w:rPr>
                <w:rFonts w:ascii="Century Gothic" w:hAnsi="Century Gothic"/>
                <w:color w:val="0070C0"/>
                <w:sz w:val="18"/>
                <w:szCs w:val="18"/>
              </w:rPr>
              <w:t>Ilość wydychanego powietrza w czasie ostatniej sekundy nasilonego wydechu (&lt;25 ml)</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24CF81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DD53B67"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54C419"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46C62BF"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F154D6B"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F47E4ED"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Oprogramowanie spirometryczne umożliwiające uwzględnienie pozycji, w jakiej jest wykonane badanie: stojąca, siedząca, leżąca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42636E1"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9144D52"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AE73F19"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557D8E57"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D1509DC"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B2819E8" w14:textId="2E20A028" w:rsidR="001F330F" w:rsidRPr="008E680B" w:rsidRDefault="001F330F" w:rsidP="00F04A70">
            <w:pPr>
              <w:spacing w:after="0"/>
              <w:rPr>
                <w:rFonts w:ascii="Century Gothic" w:hAnsi="Century Gothic" w:cs="Times New Roman"/>
                <w:color w:val="FF0000"/>
                <w:sz w:val="18"/>
                <w:szCs w:val="18"/>
              </w:rPr>
            </w:pPr>
            <w:r w:rsidRPr="007B45C7">
              <w:rPr>
                <w:rFonts w:ascii="Century Gothic" w:hAnsi="Century Gothic" w:cs="Times New Roman"/>
                <w:color w:val="000000"/>
                <w:sz w:val="18"/>
                <w:szCs w:val="18"/>
              </w:rPr>
              <w:t>Aparat umożliwiający dodanie do wykonanego badania</w:t>
            </w:r>
            <w:r w:rsidR="008E680B">
              <w:rPr>
                <w:rFonts w:ascii="Century Gothic" w:hAnsi="Century Gothic" w:cs="Times New Roman"/>
                <w:color w:val="000000"/>
                <w:sz w:val="18"/>
                <w:szCs w:val="18"/>
              </w:rPr>
              <w:t xml:space="preserve"> </w:t>
            </w:r>
            <w:r w:rsidRPr="007B45C7">
              <w:rPr>
                <w:rFonts w:ascii="Century Gothic" w:hAnsi="Century Gothic" w:cs="Times New Roman"/>
                <w:color w:val="000000"/>
                <w:sz w:val="18"/>
                <w:szCs w:val="18"/>
              </w:rPr>
              <w:t xml:space="preserve"> tylko części spirometrycznej bez konieczności powtarzania całego badania</w:t>
            </w:r>
            <w:r w:rsidR="008E680B">
              <w:rPr>
                <w:rFonts w:ascii="Century Gothic" w:hAnsi="Century Gothic" w:cs="Times New Roman"/>
                <w:color w:val="FF0000"/>
                <w:sz w:val="18"/>
                <w:szCs w:val="18"/>
              </w:rPr>
              <w:t xml:space="preserve"> </w:t>
            </w:r>
            <w:r w:rsidR="008E680B" w:rsidRPr="00595C5B">
              <w:rPr>
                <w:rFonts w:ascii="Century Gothic" w:hAnsi="Century Gothic" w:cs="Times New Roman"/>
                <w:color w:val="0070C0"/>
                <w:sz w:val="18"/>
                <w:szCs w:val="18"/>
              </w:rPr>
              <w:t xml:space="preserve">lub Aparat umożliwia dodanie (dorobienie) do wykonanego badania </w:t>
            </w:r>
            <w:r w:rsidR="008E680B" w:rsidRPr="00595C5B">
              <w:rPr>
                <w:rFonts w:ascii="Century Gothic" w:hAnsi="Century Gothic" w:cs="Times New Roman"/>
                <w:color w:val="0070C0"/>
                <w:sz w:val="18"/>
                <w:szCs w:val="18"/>
              </w:rPr>
              <w:lastRenderedPageBreak/>
              <w:t>pletyzmograficznego, w zależności od potrzeb tylko części spirometrycznej, oporowej lub FRCplet, bez konieczności powtarzania całego badania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76C31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326C262"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FC2E0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7B0BA118"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CCA7F5D"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F84F1DF"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Gaz dyfuzyjny, podawany za pośrednictwem specjalnego zaworu, bezpośrednio z butli, bez konieczności używania worków do gromadzenia gazu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3FBEB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A856AD8"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B60C8F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2FA163F"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8301A6C"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87248B9"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System dyfuzyjny nie wymagający worków do gromadzenia gazu zarówno wdechowego jak również wydechowego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5CB07C"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5EB3F44"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CE6F2B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FE92A80"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F343878"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167154F"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Zintegrowany kompresor na potrzeby systemu podającego lek</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A936A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8A1FB3C"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2FF57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5B69E93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F1060E4"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261F65A" w14:textId="77777777" w:rsidR="001F330F" w:rsidRPr="00814F28" w:rsidRDefault="001F330F" w:rsidP="004F13C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 xml:space="preserve">Kompresor o wydajności przepływu </w:t>
            </w:r>
            <w:r w:rsidR="004F13C0">
              <w:rPr>
                <w:rFonts w:ascii="Century Gothic" w:hAnsi="Century Gothic" w:cs="Times New Roman"/>
                <w:color w:val="000000"/>
                <w:sz w:val="18"/>
                <w:szCs w:val="18"/>
              </w:rPr>
              <w:t>min.</w:t>
            </w:r>
            <w:r w:rsidRPr="007B45C7">
              <w:rPr>
                <w:rFonts w:ascii="Century Gothic" w:hAnsi="Century Gothic" w:cs="Times New Roman"/>
                <w:color w:val="000000"/>
                <w:sz w:val="18"/>
                <w:szCs w:val="18"/>
              </w:rPr>
              <w:t xml:space="preserve"> 5 L/min</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34A745"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601F45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4073ACB" w14:textId="77777777" w:rsidR="004F13C0" w:rsidRDefault="004F13C0" w:rsidP="004F13C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14675664" w14:textId="77777777" w:rsidR="001F330F" w:rsidRPr="00814F28" w:rsidRDefault="004F13C0" w:rsidP="004F13C0">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4 pkt.</w:t>
            </w:r>
          </w:p>
        </w:tc>
      </w:tr>
      <w:tr w:rsidR="001F330F" w:rsidRPr="00814F28" w14:paraId="0F935D47"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9257166"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C7C1E48"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Kompresor zapewniający ciśnienie nie mniejsze niż 1,0 bar</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0A2B441"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EA0472"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B9534A" w14:textId="77777777" w:rsidR="004F13C0" w:rsidRDefault="004F13C0" w:rsidP="004F13C0">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78BD41D4" w14:textId="77777777" w:rsidR="001F330F" w:rsidRPr="00814F28" w:rsidRDefault="004F13C0" w:rsidP="004F13C0">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1F330F" w:rsidRPr="00814F28" w14:paraId="252F982B"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36E18A1"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1B395EE"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Obsługa nebulizatorów różnych producentów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18BA33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00D04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B429A8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6C97BFCE"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DED8303"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BC7D852"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Oprogramowanie do przeprowadzania prób prowokacyjnych automatycznie oblicza PC/PD_20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CC2672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8FD1BB1"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11C0FD2"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30D4A4DF"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191"/>
        </w:trPr>
        <w:tc>
          <w:tcPr>
            <w:tcW w:w="709" w:type="dxa"/>
            <w:tcBorders>
              <w:top w:val="single" w:sz="4" w:space="0" w:color="auto"/>
              <w:left w:val="single" w:sz="4" w:space="0" w:color="auto"/>
              <w:bottom w:val="single" w:sz="4" w:space="0" w:color="auto"/>
              <w:right w:val="single" w:sz="4" w:space="0" w:color="auto"/>
            </w:tcBorders>
          </w:tcPr>
          <w:p w14:paraId="14A63DD8" w14:textId="77777777" w:rsidR="001F330F" w:rsidRPr="004F13C0" w:rsidRDefault="001F330F" w:rsidP="004F13C0">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89F529F" w14:textId="77777777" w:rsidR="001F330F" w:rsidRPr="00814F28" w:rsidRDefault="001F330F" w:rsidP="00F04A70">
            <w:pPr>
              <w:spacing w:after="0"/>
              <w:rPr>
                <w:rFonts w:ascii="Century Gothic" w:hAnsi="Century Gothic" w:cs="Times New Roman"/>
                <w:color w:val="000000"/>
                <w:sz w:val="18"/>
                <w:szCs w:val="18"/>
              </w:rPr>
            </w:pPr>
            <w:r w:rsidRPr="007B45C7">
              <w:rPr>
                <w:rFonts w:ascii="Century Gothic" w:hAnsi="Century Gothic" w:cs="Times New Roman"/>
                <w:color w:val="000000"/>
                <w:sz w:val="18"/>
                <w:szCs w:val="18"/>
              </w:rPr>
              <w:t>System prowokacyjny wyposażony w filtr wychwytujący niepożądane substancje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3317EB9"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D73455"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FF726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E680B" w:rsidRPr="00814F28" w14:paraId="45909264" w14:textId="77777777" w:rsidTr="006D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770DA40" w14:textId="77777777" w:rsidR="008E680B" w:rsidRPr="004F13C0" w:rsidRDefault="008E680B" w:rsidP="006D7F0C">
            <w:pPr>
              <w:pStyle w:val="Akapitzlist"/>
              <w:numPr>
                <w:ilvl w:val="0"/>
                <w:numId w:val="19"/>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F71A303" w14:textId="77777777" w:rsidR="008E680B" w:rsidRPr="00814F28" w:rsidRDefault="008E680B" w:rsidP="006D7F0C">
            <w:pPr>
              <w:spacing w:after="0"/>
              <w:rPr>
                <w:rFonts w:ascii="Century Gothic" w:hAnsi="Century Gothic" w:cs="Times New Roman"/>
                <w:color w:val="000000"/>
                <w:sz w:val="18"/>
                <w:szCs w:val="18"/>
              </w:rPr>
            </w:pPr>
            <w:r>
              <w:rPr>
                <w:rFonts w:ascii="Century Gothic" w:hAnsi="Century Gothic" w:cs="Times New Roman"/>
                <w:color w:val="000000"/>
                <w:sz w:val="18"/>
                <w:szCs w:val="18"/>
              </w:rPr>
              <w:t>Konfiguracja</w:t>
            </w:r>
            <w:r w:rsidRPr="007B45C7">
              <w:rPr>
                <w:rFonts w:ascii="Century Gothic" w:hAnsi="Century Gothic" w:cs="Times New Roman"/>
                <w:color w:val="000000"/>
                <w:sz w:val="18"/>
                <w:szCs w:val="18"/>
              </w:rPr>
              <w:t xml:space="preserve"> własnych raportów użytkownika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5879B28" w14:textId="77777777" w:rsidR="008E680B" w:rsidRPr="00814F28" w:rsidRDefault="008E680B" w:rsidP="006D7F0C">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582B0B" w14:textId="77777777" w:rsidR="008E680B" w:rsidRPr="00814F28" w:rsidRDefault="008E680B" w:rsidP="006D7F0C">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7812D9" w14:textId="77777777" w:rsidR="008E680B" w:rsidRDefault="008E680B" w:rsidP="006D7F0C">
            <w:pPr>
              <w:spacing w:after="0"/>
              <w:jc w:val="center"/>
              <w:rPr>
                <w:rFonts w:ascii="Century Gothic" w:hAnsi="Century Gothic" w:cs="Times New Roman"/>
                <w:sz w:val="18"/>
                <w:szCs w:val="18"/>
              </w:rPr>
            </w:pPr>
            <w:r>
              <w:rPr>
                <w:rFonts w:ascii="Century Gothic" w:hAnsi="Century Gothic" w:cs="Times New Roman"/>
                <w:sz w:val="18"/>
                <w:szCs w:val="18"/>
              </w:rPr>
              <w:t>TAK – 3 pkt.;</w:t>
            </w:r>
          </w:p>
          <w:p w14:paraId="4477DE1B" w14:textId="77777777" w:rsidR="008E680B" w:rsidRPr="00814F28" w:rsidRDefault="008E680B" w:rsidP="006D7F0C">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8E680B" w:rsidRPr="008E680B" w14:paraId="65F28E95"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8C5D57A" w14:textId="77777777" w:rsidR="008E680B" w:rsidRPr="002C3C0C" w:rsidRDefault="008E680B" w:rsidP="004F13C0">
            <w:pPr>
              <w:pStyle w:val="Akapitzlist"/>
              <w:numPr>
                <w:ilvl w:val="0"/>
                <w:numId w:val="19"/>
              </w:numPr>
              <w:spacing w:after="0" w:line="288" w:lineRule="auto"/>
              <w:jc w:val="center"/>
              <w:rPr>
                <w:rFonts w:ascii="Century Gothic" w:hAnsi="Century Gothic"/>
                <w:color w:val="0070C0"/>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89B9AB1" w14:textId="7CDA16D8" w:rsidR="008E680B" w:rsidRPr="002C3C0C" w:rsidRDefault="008E680B" w:rsidP="00F04A70">
            <w:pPr>
              <w:spacing w:after="0"/>
              <w:rPr>
                <w:rFonts w:ascii="Century Gothic" w:hAnsi="Century Gothic" w:cs="Times New Roman"/>
                <w:color w:val="0070C0"/>
                <w:sz w:val="18"/>
                <w:szCs w:val="18"/>
              </w:rPr>
            </w:pPr>
            <w:r w:rsidRPr="002C3C0C">
              <w:rPr>
                <w:rFonts w:ascii="Century Gothic" w:hAnsi="Century Gothic" w:cs="Times New Roman"/>
                <w:color w:val="0070C0"/>
                <w:sz w:val="18"/>
                <w:szCs w:val="18"/>
              </w:rPr>
              <w:t>Przepływomierz ultradźwiękowy, bez konieczności wymiany po każdym pacjencie, korzystający z filtrów bakteryjno wirusowych</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8A24F5" w14:textId="4A2C7430" w:rsidR="008E680B" w:rsidRPr="002C3C0C" w:rsidRDefault="008E680B" w:rsidP="00F04A70">
            <w:pPr>
              <w:spacing w:after="0"/>
              <w:jc w:val="center"/>
              <w:rPr>
                <w:rFonts w:ascii="Century Gothic" w:hAnsi="Century Gothic" w:cs="Times New Roman"/>
                <w:color w:val="0070C0"/>
                <w:sz w:val="18"/>
                <w:szCs w:val="18"/>
              </w:rPr>
            </w:pPr>
            <w:r w:rsidRPr="002C3C0C">
              <w:rPr>
                <w:rFonts w:ascii="Century Gothic" w:hAnsi="Century Gothic" w:cs="Times New Roman"/>
                <w:color w:val="0070C0"/>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B8AEBC" w14:textId="77777777" w:rsidR="008E680B" w:rsidRPr="002C3C0C" w:rsidRDefault="008E680B" w:rsidP="00F04A70">
            <w:pPr>
              <w:pStyle w:val="TableContents"/>
              <w:snapToGrid w:val="0"/>
              <w:spacing w:line="360" w:lineRule="auto"/>
              <w:rPr>
                <w:rFonts w:ascii="Century Gothic" w:hAnsi="Century Gothic"/>
                <w:color w:val="0070C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BF80C09" w14:textId="06AEDB68" w:rsidR="008E680B" w:rsidRPr="002C3C0C" w:rsidRDefault="008E680B" w:rsidP="00F04A70">
            <w:pPr>
              <w:spacing w:after="0"/>
              <w:jc w:val="center"/>
              <w:rPr>
                <w:rFonts w:ascii="Century Gothic" w:hAnsi="Century Gothic" w:cs="Times New Roman"/>
                <w:color w:val="0070C0"/>
                <w:sz w:val="18"/>
                <w:szCs w:val="18"/>
              </w:rPr>
            </w:pPr>
            <w:r w:rsidRPr="002C3C0C">
              <w:rPr>
                <w:rFonts w:ascii="Century Gothic" w:hAnsi="Century Gothic" w:cs="Times New Roman"/>
                <w:color w:val="0070C0"/>
                <w:sz w:val="18"/>
                <w:szCs w:val="18"/>
              </w:rPr>
              <w:t>- - -</w:t>
            </w:r>
          </w:p>
        </w:tc>
      </w:tr>
      <w:tr w:rsidR="008E680B" w:rsidRPr="00814F28" w14:paraId="209A1BAC" w14:textId="77777777" w:rsidTr="006F1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4EABB91" w14:textId="77777777" w:rsidR="008E680B" w:rsidRPr="006F15A8" w:rsidRDefault="008E680B" w:rsidP="006D7F0C">
            <w:pPr>
              <w:pStyle w:val="Akapitzlist"/>
              <w:numPr>
                <w:ilvl w:val="0"/>
                <w:numId w:val="19"/>
              </w:numPr>
              <w:spacing w:after="0" w:line="288" w:lineRule="auto"/>
              <w:jc w:val="center"/>
              <w:rPr>
                <w:rFonts w:ascii="Century Gothic" w:hAnsi="Century Gothic"/>
                <w:color w:val="0070C0"/>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C2A9352" w14:textId="77777777" w:rsidR="008E680B" w:rsidRPr="006F15A8" w:rsidRDefault="008E680B" w:rsidP="006F15A8">
            <w:pPr>
              <w:spacing w:after="0"/>
              <w:rPr>
                <w:rFonts w:ascii="Century Gothic" w:hAnsi="Century Gothic" w:cs="Times New Roman"/>
                <w:color w:val="0070C0"/>
                <w:sz w:val="18"/>
                <w:szCs w:val="18"/>
              </w:rPr>
            </w:pPr>
            <w:r w:rsidRPr="006F15A8">
              <w:rPr>
                <w:rFonts w:ascii="Century Gothic" w:hAnsi="Century Gothic" w:cs="Times New Roman"/>
                <w:color w:val="0070C0"/>
                <w:sz w:val="18"/>
                <w:szCs w:val="18"/>
              </w:rPr>
              <w:t>System dyfuzyjny opisany w pkt. 8 pracujący w czasie rzeczywistym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62B557" w14:textId="77777777" w:rsidR="008E680B" w:rsidRPr="006F15A8" w:rsidRDefault="008E680B" w:rsidP="006D7F0C">
            <w:pPr>
              <w:spacing w:after="0"/>
              <w:jc w:val="center"/>
              <w:rPr>
                <w:rFonts w:ascii="Century Gothic" w:hAnsi="Century Gothic" w:cs="Times New Roman"/>
                <w:color w:val="0070C0"/>
                <w:sz w:val="18"/>
                <w:szCs w:val="18"/>
              </w:rPr>
            </w:pPr>
            <w:r w:rsidRPr="006F15A8">
              <w:rPr>
                <w:rFonts w:ascii="Century Gothic" w:hAnsi="Century Gothic" w:cs="Times New Roman"/>
                <w:color w:val="0070C0"/>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DD38A85" w14:textId="77777777" w:rsidR="008E680B" w:rsidRPr="006F15A8" w:rsidRDefault="008E680B" w:rsidP="006D7F0C">
            <w:pPr>
              <w:pStyle w:val="TableContents"/>
              <w:snapToGrid w:val="0"/>
              <w:spacing w:line="360" w:lineRule="auto"/>
              <w:rPr>
                <w:rFonts w:ascii="Century Gothic" w:hAnsi="Century Gothic"/>
                <w:color w:val="0070C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75E7D5" w14:textId="77777777" w:rsidR="008E680B" w:rsidRPr="006F15A8" w:rsidRDefault="008E680B" w:rsidP="006D7F0C">
            <w:pPr>
              <w:spacing w:after="0"/>
              <w:jc w:val="center"/>
              <w:rPr>
                <w:rFonts w:ascii="Century Gothic" w:hAnsi="Century Gothic" w:cs="Times New Roman"/>
                <w:color w:val="0070C0"/>
                <w:sz w:val="18"/>
                <w:szCs w:val="18"/>
              </w:rPr>
            </w:pPr>
            <w:r w:rsidRPr="006F15A8">
              <w:rPr>
                <w:rFonts w:ascii="Century Gothic" w:hAnsi="Century Gothic" w:cs="Times New Roman"/>
                <w:color w:val="0070C0"/>
                <w:sz w:val="18"/>
                <w:szCs w:val="18"/>
              </w:rPr>
              <w:t>TAK – 5 pkt.;</w:t>
            </w:r>
          </w:p>
          <w:p w14:paraId="114BB637" w14:textId="77777777" w:rsidR="008E680B" w:rsidRPr="006F15A8" w:rsidRDefault="008E680B" w:rsidP="006D7F0C">
            <w:pPr>
              <w:spacing w:after="0"/>
              <w:jc w:val="center"/>
              <w:rPr>
                <w:rFonts w:ascii="Century Gothic" w:hAnsi="Century Gothic" w:cs="Times New Roman"/>
                <w:color w:val="0070C0"/>
                <w:sz w:val="18"/>
                <w:szCs w:val="18"/>
              </w:rPr>
            </w:pPr>
            <w:r w:rsidRPr="006F15A8">
              <w:rPr>
                <w:rFonts w:ascii="Century Gothic" w:hAnsi="Century Gothic" w:cs="Times New Roman"/>
                <w:color w:val="0070C0"/>
                <w:sz w:val="18"/>
                <w:szCs w:val="18"/>
              </w:rPr>
              <w:t>NIE – 0 pkt.</w:t>
            </w:r>
          </w:p>
        </w:tc>
      </w:tr>
      <w:tr w:rsidR="008E680B" w:rsidRPr="00814F28" w14:paraId="350D99D7" w14:textId="77777777" w:rsidTr="008E6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4B5AB63" w14:textId="77777777" w:rsidR="008E680B" w:rsidRPr="00887A0B" w:rsidRDefault="008E680B" w:rsidP="006D7F0C">
            <w:pPr>
              <w:pStyle w:val="Akapitzlist"/>
              <w:numPr>
                <w:ilvl w:val="0"/>
                <w:numId w:val="19"/>
              </w:numPr>
              <w:spacing w:after="0" w:line="288" w:lineRule="auto"/>
              <w:jc w:val="center"/>
              <w:rPr>
                <w:rFonts w:ascii="Century Gothic" w:hAnsi="Century Gothic"/>
                <w:color w:val="0070C0"/>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87CE1FC" w14:textId="26A47A31" w:rsidR="008E680B" w:rsidRPr="00887A0B" w:rsidRDefault="008E680B" w:rsidP="006D7F0C">
            <w:pPr>
              <w:spacing w:after="0"/>
              <w:rPr>
                <w:rFonts w:ascii="Century Gothic" w:hAnsi="Century Gothic" w:cs="Times New Roman"/>
                <w:color w:val="0070C0"/>
                <w:sz w:val="18"/>
                <w:szCs w:val="18"/>
              </w:rPr>
            </w:pPr>
            <w:r w:rsidRPr="00887A0B">
              <w:rPr>
                <w:rFonts w:ascii="Century Gothic" w:hAnsi="Century Gothic" w:cs="Times New Roman"/>
                <w:color w:val="0070C0"/>
                <w:sz w:val="18"/>
                <w:szCs w:val="18"/>
              </w:rPr>
              <w:t>Zestaw diagnostyczny umożliwiający badanie zdolności dyfuzyjnej płuc metodą śródoddechową (Intrabreath)</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9F66566" w14:textId="77777777" w:rsidR="008E680B" w:rsidRPr="00887A0B" w:rsidRDefault="008E680B" w:rsidP="006D7F0C">
            <w:pPr>
              <w:spacing w:after="0"/>
              <w:jc w:val="center"/>
              <w:rPr>
                <w:rFonts w:ascii="Century Gothic" w:hAnsi="Century Gothic" w:cs="Times New Roman"/>
                <w:color w:val="0070C0"/>
                <w:sz w:val="18"/>
                <w:szCs w:val="18"/>
              </w:rPr>
            </w:pPr>
            <w:r w:rsidRPr="00887A0B">
              <w:rPr>
                <w:rFonts w:ascii="Century Gothic" w:hAnsi="Century Gothic" w:cs="Times New Roman"/>
                <w:color w:val="0070C0"/>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9CE6A1" w14:textId="77777777" w:rsidR="008E680B" w:rsidRPr="00887A0B" w:rsidRDefault="008E680B" w:rsidP="006D7F0C">
            <w:pPr>
              <w:pStyle w:val="TableContents"/>
              <w:snapToGrid w:val="0"/>
              <w:spacing w:line="360" w:lineRule="auto"/>
              <w:rPr>
                <w:rFonts w:ascii="Century Gothic" w:hAnsi="Century Gothic"/>
                <w:color w:val="0070C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486987" w14:textId="453BE79A" w:rsidR="008E680B" w:rsidRPr="00887A0B" w:rsidRDefault="008E680B" w:rsidP="006D7F0C">
            <w:pPr>
              <w:spacing w:after="0"/>
              <w:jc w:val="center"/>
              <w:rPr>
                <w:rFonts w:ascii="Century Gothic" w:hAnsi="Century Gothic" w:cs="Times New Roman"/>
                <w:color w:val="0070C0"/>
                <w:sz w:val="18"/>
                <w:szCs w:val="18"/>
              </w:rPr>
            </w:pPr>
            <w:r w:rsidRPr="00887A0B">
              <w:rPr>
                <w:rFonts w:ascii="Century Gothic" w:hAnsi="Century Gothic" w:cs="Times New Roman"/>
                <w:color w:val="0070C0"/>
                <w:sz w:val="18"/>
                <w:szCs w:val="18"/>
              </w:rPr>
              <w:t>TAK – 5 pkt.;</w:t>
            </w:r>
          </w:p>
          <w:p w14:paraId="47056557" w14:textId="77777777" w:rsidR="008E680B" w:rsidRPr="00887A0B" w:rsidRDefault="008E680B" w:rsidP="006D7F0C">
            <w:pPr>
              <w:spacing w:after="0"/>
              <w:jc w:val="center"/>
              <w:rPr>
                <w:rFonts w:ascii="Century Gothic" w:hAnsi="Century Gothic" w:cs="Times New Roman"/>
                <w:color w:val="0070C0"/>
                <w:sz w:val="18"/>
                <w:szCs w:val="18"/>
              </w:rPr>
            </w:pPr>
            <w:r w:rsidRPr="00887A0B">
              <w:rPr>
                <w:rFonts w:ascii="Century Gothic" w:hAnsi="Century Gothic" w:cs="Times New Roman"/>
                <w:color w:val="0070C0"/>
                <w:sz w:val="18"/>
                <w:szCs w:val="18"/>
              </w:rPr>
              <w:t>NIE – 0 pkt.</w:t>
            </w:r>
          </w:p>
        </w:tc>
      </w:tr>
      <w:tr w:rsidR="00CD67DB" w:rsidRPr="008E680B" w14:paraId="187C3C8E" w14:textId="77777777" w:rsidTr="00CD6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4BEB111" w14:textId="77777777" w:rsidR="00CD67DB" w:rsidRPr="00545977" w:rsidRDefault="00CD67DB" w:rsidP="006D7F0C">
            <w:pPr>
              <w:pStyle w:val="Akapitzlist"/>
              <w:numPr>
                <w:ilvl w:val="0"/>
                <w:numId w:val="19"/>
              </w:numPr>
              <w:spacing w:after="0" w:line="288" w:lineRule="auto"/>
              <w:jc w:val="center"/>
              <w:rPr>
                <w:rFonts w:ascii="Century Gothic" w:hAnsi="Century Gothic"/>
                <w:color w:val="0070C0"/>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29B9929" w14:textId="62ACF2D9" w:rsidR="00CD67DB" w:rsidRPr="00545977" w:rsidRDefault="00CD67DB" w:rsidP="006D7F0C">
            <w:pPr>
              <w:spacing w:after="0"/>
              <w:rPr>
                <w:rFonts w:ascii="Century Gothic" w:hAnsi="Century Gothic" w:cs="Times New Roman"/>
                <w:color w:val="0070C0"/>
                <w:sz w:val="18"/>
                <w:szCs w:val="18"/>
              </w:rPr>
            </w:pPr>
            <w:r w:rsidRPr="00545977">
              <w:rPr>
                <w:rFonts w:ascii="Century Gothic" w:hAnsi="Century Gothic" w:cs="Times New Roman"/>
                <w:color w:val="0070C0"/>
                <w:sz w:val="18"/>
                <w:szCs w:val="18"/>
              </w:rPr>
              <w:t>Kabina o pojemności min. 1000 l</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4FBEBE" w14:textId="77777777" w:rsidR="00CD67DB" w:rsidRPr="00545977" w:rsidRDefault="00CD67DB" w:rsidP="006D7F0C">
            <w:pPr>
              <w:spacing w:after="0"/>
              <w:jc w:val="center"/>
              <w:rPr>
                <w:rFonts w:ascii="Century Gothic" w:hAnsi="Century Gothic" w:cs="Times New Roman"/>
                <w:color w:val="0070C0"/>
                <w:sz w:val="18"/>
                <w:szCs w:val="18"/>
              </w:rPr>
            </w:pPr>
            <w:r w:rsidRPr="00545977">
              <w:rPr>
                <w:rFonts w:ascii="Century Gothic" w:hAnsi="Century Gothic" w:cs="Times New Roman"/>
                <w:color w:val="0070C0"/>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555ACF" w14:textId="77777777" w:rsidR="00CD67DB" w:rsidRPr="00545977" w:rsidRDefault="00CD67DB" w:rsidP="006D7F0C">
            <w:pPr>
              <w:pStyle w:val="TableContents"/>
              <w:snapToGrid w:val="0"/>
              <w:spacing w:line="360" w:lineRule="auto"/>
              <w:rPr>
                <w:rFonts w:ascii="Century Gothic" w:hAnsi="Century Gothic"/>
                <w:color w:val="0070C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189A499" w14:textId="77777777" w:rsidR="00CD67DB" w:rsidRPr="00545977" w:rsidRDefault="00CD67DB" w:rsidP="006D7F0C">
            <w:pPr>
              <w:spacing w:after="0"/>
              <w:jc w:val="center"/>
              <w:rPr>
                <w:rFonts w:ascii="Century Gothic" w:hAnsi="Century Gothic" w:cs="Times New Roman"/>
                <w:color w:val="0070C0"/>
                <w:sz w:val="18"/>
                <w:szCs w:val="18"/>
              </w:rPr>
            </w:pPr>
            <w:r w:rsidRPr="00545977">
              <w:rPr>
                <w:rFonts w:ascii="Century Gothic" w:hAnsi="Century Gothic" w:cs="Times New Roman"/>
                <w:color w:val="0070C0"/>
                <w:sz w:val="18"/>
                <w:szCs w:val="18"/>
              </w:rPr>
              <w:t>- - -</w:t>
            </w:r>
          </w:p>
        </w:tc>
      </w:tr>
      <w:tr w:rsidR="00CD67DB" w:rsidRPr="00814F28" w14:paraId="547A53EE" w14:textId="77777777" w:rsidTr="00CD6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2C2B473" w14:textId="77777777" w:rsidR="00CD67DB" w:rsidRPr="00F64CEB" w:rsidRDefault="00CD67DB" w:rsidP="006D7F0C">
            <w:pPr>
              <w:pStyle w:val="Akapitzlist"/>
              <w:numPr>
                <w:ilvl w:val="0"/>
                <w:numId w:val="19"/>
              </w:numPr>
              <w:spacing w:after="0" w:line="288" w:lineRule="auto"/>
              <w:jc w:val="center"/>
              <w:rPr>
                <w:rFonts w:ascii="Century Gothic" w:hAnsi="Century Gothic"/>
                <w:color w:val="0070C0"/>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2918635" w14:textId="64F4B4F5" w:rsidR="00CD67DB" w:rsidRPr="00F64CEB" w:rsidRDefault="00CD67DB" w:rsidP="006D7F0C">
            <w:pPr>
              <w:spacing w:after="0"/>
              <w:rPr>
                <w:rFonts w:ascii="Century Gothic" w:hAnsi="Century Gothic" w:cs="Times New Roman"/>
                <w:color w:val="0070C0"/>
                <w:sz w:val="18"/>
                <w:szCs w:val="18"/>
              </w:rPr>
            </w:pPr>
            <w:r w:rsidRPr="00F64CEB">
              <w:rPr>
                <w:rFonts w:ascii="Century Gothic" w:hAnsi="Century Gothic" w:cs="Times New Roman"/>
                <w:color w:val="0070C0"/>
                <w:sz w:val="18"/>
                <w:szCs w:val="18"/>
              </w:rPr>
              <w:t>Układ pomiarowy można wysunąć poza kabinę, umożliwiając tym samym wykonanie badań spirometrycznych oraz dyfuzyjnych poza kabiną, przynajmniej na 60 c</w:t>
            </w:r>
            <w:bookmarkStart w:id="0" w:name="_GoBack"/>
            <w:bookmarkEnd w:id="0"/>
            <w:r w:rsidRPr="00F64CEB">
              <w:rPr>
                <w:rFonts w:ascii="Century Gothic" w:hAnsi="Century Gothic" w:cs="Times New Roman"/>
                <w:color w:val="0070C0"/>
                <w:sz w:val="18"/>
                <w:szCs w:val="18"/>
              </w:rPr>
              <w:t>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D65E6C" w14:textId="77777777" w:rsidR="00CD67DB" w:rsidRPr="00F64CEB" w:rsidRDefault="00CD67DB" w:rsidP="006D7F0C">
            <w:pPr>
              <w:spacing w:after="0"/>
              <w:jc w:val="center"/>
              <w:rPr>
                <w:rFonts w:ascii="Century Gothic" w:hAnsi="Century Gothic" w:cs="Times New Roman"/>
                <w:color w:val="0070C0"/>
                <w:sz w:val="18"/>
                <w:szCs w:val="18"/>
              </w:rPr>
            </w:pPr>
            <w:r w:rsidRPr="00F64CEB">
              <w:rPr>
                <w:rFonts w:ascii="Century Gothic" w:hAnsi="Century Gothic" w:cs="Times New Roman"/>
                <w:color w:val="0070C0"/>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1F10D6F" w14:textId="77777777" w:rsidR="00CD67DB" w:rsidRPr="00F64CEB" w:rsidRDefault="00CD67DB" w:rsidP="006D7F0C">
            <w:pPr>
              <w:pStyle w:val="TableContents"/>
              <w:snapToGrid w:val="0"/>
              <w:spacing w:line="360" w:lineRule="auto"/>
              <w:rPr>
                <w:rFonts w:ascii="Century Gothic" w:hAnsi="Century Gothic"/>
                <w:color w:val="0070C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79D17A4" w14:textId="77777777" w:rsidR="00CD67DB" w:rsidRPr="00F64CEB" w:rsidRDefault="00CD67DB" w:rsidP="006D7F0C">
            <w:pPr>
              <w:spacing w:after="0"/>
              <w:jc w:val="center"/>
              <w:rPr>
                <w:rFonts w:ascii="Century Gothic" w:hAnsi="Century Gothic" w:cs="Times New Roman"/>
                <w:color w:val="0070C0"/>
                <w:sz w:val="18"/>
                <w:szCs w:val="18"/>
              </w:rPr>
            </w:pPr>
            <w:r w:rsidRPr="00F64CEB">
              <w:rPr>
                <w:rFonts w:ascii="Century Gothic" w:hAnsi="Century Gothic" w:cs="Times New Roman"/>
                <w:color w:val="0070C0"/>
                <w:sz w:val="18"/>
                <w:szCs w:val="18"/>
              </w:rPr>
              <w:t>TAK – 5 pkt.;</w:t>
            </w:r>
          </w:p>
          <w:p w14:paraId="20A0D0E3" w14:textId="77777777" w:rsidR="00CD67DB" w:rsidRPr="00F64CEB" w:rsidRDefault="00CD67DB" w:rsidP="006D7F0C">
            <w:pPr>
              <w:spacing w:after="0"/>
              <w:jc w:val="center"/>
              <w:rPr>
                <w:rFonts w:ascii="Century Gothic" w:hAnsi="Century Gothic" w:cs="Times New Roman"/>
                <w:color w:val="0070C0"/>
                <w:sz w:val="18"/>
                <w:szCs w:val="18"/>
              </w:rPr>
            </w:pPr>
            <w:r w:rsidRPr="00F64CEB">
              <w:rPr>
                <w:rFonts w:ascii="Century Gothic" w:hAnsi="Century Gothic" w:cs="Times New Roman"/>
                <w:color w:val="0070C0"/>
                <w:sz w:val="18"/>
                <w:szCs w:val="18"/>
              </w:rPr>
              <w:t>NIE – 0 pkt.</w:t>
            </w:r>
          </w:p>
        </w:tc>
      </w:tr>
    </w:tbl>
    <w:p w14:paraId="2554D7C0" w14:textId="77777777" w:rsidR="001F330F" w:rsidRDefault="001F330F" w:rsidP="001F330F">
      <w:pPr>
        <w:pStyle w:val="Tytu"/>
        <w:spacing w:line="288" w:lineRule="auto"/>
        <w:jc w:val="left"/>
        <w:rPr>
          <w:rFonts w:ascii="Century Gothic" w:hAnsi="Century Gothic"/>
          <w:sz w:val="18"/>
          <w:szCs w:val="18"/>
        </w:rPr>
      </w:pPr>
    </w:p>
    <w:p w14:paraId="42E5B0A0" w14:textId="77777777" w:rsidR="001F330F" w:rsidRDefault="001F330F" w:rsidP="001F330F">
      <w:pPr>
        <w:pStyle w:val="Podtytu"/>
        <w:rPr>
          <w:rFonts w:eastAsia="Times New Roman" w:cs="Times New Roman"/>
          <w:kern w:val="3"/>
          <w:lang w:eastAsia="zh-CN"/>
        </w:rPr>
      </w:pPr>
      <w:r>
        <w:br w:type="page"/>
      </w:r>
    </w:p>
    <w:p w14:paraId="583443DF"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lastRenderedPageBreak/>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CC55F" w14:textId="77777777" w:rsidR="005E07AD" w:rsidRDefault="005E07AD">
      <w:pPr>
        <w:spacing w:after="0" w:line="240" w:lineRule="auto"/>
      </w:pPr>
      <w:r>
        <w:separator/>
      </w:r>
    </w:p>
  </w:endnote>
  <w:endnote w:type="continuationSeparator" w:id="0">
    <w:p w14:paraId="3134790A" w14:textId="77777777" w:rsidR="005E07AD" w:rsidRDefault="005E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charset w:val="00"/>
    <w:family w:val="roman"/>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23C00B58" w:rsidR="007E0E80" w:rsidRDefault="007E0E80">
        <w:pPr>
          <w:pStyle w:val="Stopka"/>
          <w:jc w:val="right"/>
        </w:pPr>
        <w:r>
          <w:fldChar w:fldCharType="begin"/>
        </w:r>
        <w:r>
          <w:instrText>PAGE   \* MERGEFORMAT</w:instrText>
        </w:r>
        <w:r>
          <w:fldChar w:fldCharType="separate"/>
        </w:r>
        <w:r w:rsidR="00F64CEB">
          <w:rPr>
            <w:noProof/>
          </w:rPr>
          <w:t>4</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58245" w14:textId="77777777" w:rsidR="005E07AD" w:rsidRDefault="005E07AD">
      <w:pPr>
        <w:spacing w:after="0" w:line="240" w:lineRule="auto"/>
      </w:pPr>
      <w:r>
        <w:separator/>
      </w:r>
    </w:p>
  </w:footnote>
  <w:footnote w:type="continuationSeparator" w:id="0">
    <w:p w14:paraId="216D9EA0" w14:textId="77777777" w:rsidR="005E07AD" w:rsidRDefault="005E0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490303"/>
    <w:multiLevelType w:val="hybridMultilevel"/>
    <w:tmpl w:val="E0E4242E"/>
    <w:lvl w:ilvl="0" w:tplc="51909A22">
      <w:start w:val="1"/>
      <w:numFmt w:val="bullet"/>
      <w:lvlText w:val=""/>
      <w:lvlJc w:val="left"/>
      <w:pPr>
        <w:ind w:left="720" w:hanging="360"/>
      </w:pPr>
      <w:rPr>
        <w:rFonts w:ascii="Symbol" w:hAnsi="Symbol" w:hint="default"/>
        <w:color w:val="0070C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C83EE9"/>
    <w:multiLevelType w:val="hybridMultilevel"/>
    <w:tmpl w:val="3F40ED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31"/>
  </w:num>
  <w:num w:numId="11">
    <w:abstractNumId w:val="12"/>
  </w:num>
  <w:num w:numId="12">
    <w:abstractNumId w:val="6"/>
  </w:num>
  <w:num w:numId="13">
    <w:abstractNumId w:val="29"/>
  </w:num>
  <w:num w:numId="14">
    <w:abstractNumId w:val="28"/>
  </w:num>
  <w:num w:numId="15">
    <w:abstractNumId w:val="19"/>
  </w:num>
  <w:num w:numId="16">
    <w:abstractNumId w:val="7"/>
  </w:num>
  <w:num w:numId="17">
    <w:abstractNumId w:val="14"/>
  </w:num>
  <w:num w:numId="18">
    <w:abstractNumId w:val="26"/>
  </w:num>
  <w:num w:numId="19">
    <w:abstractNumId w:val="15"/>
  </w:num>
  <w:num w:numId="20">
    <w:abstractNumId w:val="25"/>
  </w:num>
  <w:num w:numId="21">
    <w:abstractNumId w:val="13"/>
  </w:num>
  <w:num w:numId="22">
    <w:abstractNumId w:val="4"/>
  </w:num>
  <w:num w:numId="23">
    <w:abstractNumId w:val="8"/>
  </w:num>
  <w:num w:numId="24">
    <w:abstractNumId w:val="21"/>
  </w:num>
  <w:num w:numId="25">
    <w:abstractNumId w:val="30"/>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2"/>
  </w:num>
  <w:num w:numId="34">
    <w:abstractNumId w:val="2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86DAF"/>
    <w:rsid w:val="000D7E99"/>
    <w:rsid w:val="000E163E"/>
    <w:rsid w:val="000F552F"/>
    <w:rsid w:val="00105A50"/>
    <w:rsid w:val="001322F3"/>
    <w:rsid w:val="00136BEF"/>
    <w:rsid w:val="001447CC"/>
    <w:rsid w:val="00170021"/>
    <w:rsid w:val="00171775"/>
    <w:rsid w:val="00184960"/>
    <w:rsid w:val="001923B7"/>
    <w:rsid w:val="001A6717"/>
    <w:rsid w:val="001C2ED6"/>
    <w:rsid w:val="001E2423"/>
    <w:rsid w:val="001F330F"/>
    <w:rsid w:val="00201020"/>
    <w:rsid w:val="002167ED"/>
    <w:rsid w:val="00237B1C"/>
    <w:rsid w:val="00271F9F"/>
    <w:rsid w:val="00284F3D"/>
    <w:rsid w:val="002923AD"/>
    <w:rsid w:val="002A2069"/>
    <w:rsid w:val="002B7601"/>
    <w:rsid w:val="002C1247"/>
    <w:rsid w:val="002C3C0C"/>
    <w:rsid w:val="002D2FBB"/>
    <w:rsid w:val="002D3DE1"/>
    <w:rsid w:val="002E0523"/>
    <w:rsid w:val="002E1100"/>
    <w:rsid w:val="002F31EB"/>
    <w:rsid w:val="002F7042"/>
    <w:rsid w:val="002F782A"/>
    <w:rsid w:val="003038D3"/>
    <w:rsid w:val="00363D5C"/>
    <w:rsid w:val="0036585E"/>
    <w:rsid w:val="00376477"/>
    <w:rsid w:val="003848D6"/>
    <w:rsid w:val="003C6177"/>
    <w:rsid w:val="003E55A9"/>
    <w:rsid w:val="004158E9"/>
    <w:rsid w:val="00415D7D"/>
    <w:rsid w:val="004229BC"/>
    <w:rsid w:val="00425FFA"/>
    <w:rsid w:val="00497807"/>
    <w:rsid w:val="004B54EB"/>
    <w:rsid w:val="004F068C"/>
    <w:rsid w:val="004F13C0"/>
    <w:rsid w:val="0050223B"/>
    <w:rsid w:val="00545977"/>
    <w:rsid w:val="005500A5"/>
    <w:rsid w:val="0055779A"/>
    <w:rsid w:val="00561C32"/>
    <w:rsid w:val="00595C5B"/>
    <w:rsid w:val="005B58E8"/>
    <w:rsid w:val="005D1030"/>
    <w:rsid w:val="005E07AD"/>
    <w:rsid w:val="005E7BA5"/>
    <w:rsid w:val="00615208"/>
    <w:rsid w:val="00621858"/>
    <w:rsid w:val="00667DE7"/>
    <w:rsid w:val="00681422"/>
    <w:rsid w:val="00687F7A"/>
    <w:rsid w:val="006C1707"/>
    <w:rsid w:val="006C4C5C"/>
    <w:rsid w:val="006D58D0"/>
    <w:rsid w:val="006F15A8"/>
    <w:rsid w:val="006F2565"/>
    <w:rsid w:val="006F3D54"/>
    <w:rsid w:val="0070092A"/>
    <w:rsid w:val="007029A8"/>
    <w:rsid w:val="00704C51"/>
    <w:rsid w:val="00720ABF"/>
    <w:rsid w:val="007438A9"/>
    <w:rsid w:val="00745BF5"/>
    <w:rsid w:val="00771DCB"/>
    <w:rsid w:val="007746A1"/>
    <w:rsid w:val="00786038"/>
    <w:rsid w:val="00787E83"/>
    <w:rsid w:val="007C5027"/>
    <w:rsid w:val="007D412F"/>
    <w:rsid w:val="007E0E80"/>
    <w:rsid w:val="007E3055"/>
    <w:rsid w:val="008027B6"/>
    <w:rsid w:val="008069D6"/>
    <w:rsid w:val="00820479"/>
    <w:rsid w:val="00827952"/>
    <w:rsid w:val="00843031"/>
    <w:rsid w:val="008568A1"/>
    <w:rsid w:val="00882F47"/>
    <w:rsid w:val="00887A0B"/>
    <w:rsid w:val="008A37D1"/>
    <w:rsid w:val="008A55E7"/>
    <w:rsid w:val="008A7CF8"/>
    <w:rsid w:val="008C3D90"/>
    <w:rsid w:val="008E680B"/>
    <w:rsid w:val="00933CE7"/>
    <w:rsid w:val="00947F90"/>
    <w:rsid w:val="00973F9C"/>
    <w:rsid w:val="00974369"/>
    <w:rsid w:val="009A6677"/>
    <w:rsid w:val="009B5B48"/>
    <w:rsid w:val="009B63A8"/>
    <w:rsid w:val="009C2BD4"/>
    <w:rsid w:val="009D3B1F"/>
    <w:rsid w:val="009D78FF"/>
    <w:rsid w:val="009F48D6"/>
    <w:rsid w:val="00A079B3"/>
    <w:rsid w:val="00A31790"/>
    <w:rsid w:val="00A4429C"/>
    <w:rsid w:val="00A459BC"/>
    <w:rsid w:val="00A57BAC"/>
    <w:rsid w:val="00A62E79"/>
    <w:rsid w:val="00A7276B"/>
    <w:rsid w:val="00A93444"/>
    <w:rsid w:val="00AB154B"/>
    <w:rsid w:val="00AD1447"/>
    <w:rsid w:val="00AD596F"/>
    <w:rsid w:val="00B347F4"/>
    <w:rsid w:val="00B358B1"/>
    <w:rsid w:val="00B41074"/>
    <w:rsid w:val="00B46757"/>
    <w:rsid w:val="00B51DFB"/>
    <w:rsid w:val="00C07BAB"/>
    <w:rsid w:val="00C313A9"/>
    <w:rsid w:val="00C426EF"/>
    <w:rsid w:val="00C7711C"/>
    <w:rsid w:val="00CB4EE6"/>
    <w:rsid w:val="00CD1C79"/>
    <w:rsid w:val="00CD67DB"/>
    <w:rsid w:val="00D20673"/>
    <w:rsid w:val="00D31A7C"/>
    <w:rsid w:val="00D713E2"/>
    <w:rsid w:val="00DA0776"/>
    <w:rsid w:val="00DB22A9"/>
    <w:rsid w:val="00DF217E"/>
    <w:rsid w:val="00DF3A51"/>
    <w:rsid w:val="00E27A66"/>
    <w:rsid w:val="00E62620"/>
    <w:rsid w:val="00E76E53"/>
    <w:rsid w:val="00E833B6"/>
    <w:rsid w:val="00E86AAF"/>
    <w:rsid w:val="00EA6574"/>
    <w:rsid w:val="00EC136B"/>
    <w:rsid w:val="00EC16D0"/>
    <w:rsid w:val="00ED7F95"/>
    <w:rsid w:val="00EF4F92"/>
    <w:rsid w:val="00EF62F1"/>
    <w:rsid w:val="00F04A70"/>
    <w:rsid w:val="00F274F0"/>
    <w:rsid w:val="00F64CEB"/>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1489FDE3-8BB6-42DC-87AD-46FFEFF8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A5B00-32B9-4A2F-978C-CB9CD4AF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1628</Words>
  <Characters>9772</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10</cp:revision>
  <dcterms:created xsi:type="dcterms:W3CDTF">2019-08-20T06:39:00Z</dcterms:created>
  <dcterms:modified xsi:type="dcterms:W3CDTF">2019-08-21T05:58:00Z</dcterms:modified>
</cp:coreProperties>
</file>