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C141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9C1413" w:rsidRPr="009B3B77" w:rsidRDefault="009C141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9C1413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D67841" w:rsidRPr="00D67841" w:rsidRDefault="00D67841" w:rsidP="009C141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67841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330F92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D67841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9C1413" w:rsidRPr="009B3B77" w:rsidRDefault="009C1413" w:rsidP="009C141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D67841">
              <w:rPr>
                <w:rFonts w:ascii="Garamond" w:hAnsi="Garamond"/>
                <w:b/>
                <w:sz w:val="22"/>
                <w:szCs w:val="22"/>
              </w:rPr>
              <w:t>Część 4 resp</w:t>
            </w:r>
            <w:r w:rsidR="009146ED">
              <w:rPr>
                <w:rFonts w:ascii="Garamond" w:hAnsi="Garamond"/>
                <w:b/>
                <w:sz w:val="22"/>
                <w:szCs w:val="22"/>
              </w:rPr>
              <w:t>irator standard - przeznaczenie</w:t>
            </w:r>
            <w:r w:rsidRPr="00D67841">
              <w:rPr>
                <w:rFonts w:ascii="Garamond" w:hAnsi="Garamond"/>
                <w:b/>
                <w:sz w:val="22"/>
                <w:szCs w:val="22"/>
              </w:rPr>
              <w:t>: OIOM – pacjent wielonarządowy – 10 sztuk</w:t>
            </w:r>
          </w:p>
        </w:tc>
      </w:tr>
    </w:tbl>
    <w:p w:rsidR="009C1413" w:rsidRDefault="009C1413" w:rsidP="00860155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605A67" w:rsidRPr="00860155" w:rsidRDefault="0097030B" w:rsidP="00860155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Uwagi i objaśnienia: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860155">
        <w:rPr>
          <w:rFonts w:ascii="Garamond" w:hAnsi="Garamond"/>
          <w:sz w:val="22"/>
          <w:szCs w:val="22"/>
        </w:rPr>
        <w:t>rekondycjonowany</w:t>
      </w:r>
      <w:proofErr w:type="spellEnd"/>
      <w:r w:rsidRPr="00860155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860155" w:rsidRPr="00860155" w:rsidTr="00FD28E9">
        <w:trPr>
          <w:gridAfter w:val="1"/>
          <w:wAfter w:w="571" w:type="dxa"/>
          <w:trHeight w:val="652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548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42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54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62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9C1413" w:rsidRPr="009B3B77" w:rsidTr="00D6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9C1413" w:rsidRPr="009B3B77" w:rsidRDefault="00D67841" w:rsidP="002E67E3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330F92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9C141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C141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C1413" w:rsidRDefault="009C1413" w:rsidP="009C141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 xml:space="preserve">Respirator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standard - </w:t>
            </w:r>
            <w:r>
              <w:rPr>
                <w:rFonts w:ascii="Garamond" w:hAnsi="Garamond"/>
                <w:sz w:val="22"/>
                <w:szCs w:val="22"/>
              </w:rPr>
              <w:t>przeznaczenie</w:t>
            </w:r>
            <w:r w:rsidRPr="00860155">
              <w:rPr>
                <w:rFonts w:ascii="Garamond" w:hAnsi="Garamond"/>
                <w:sz w:val="22"/>
                <w:szCs w:val="22"/>
              </w:rPr>
              <w:t>: OIOM – pacjent wielonarządowy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9C1413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C1413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C1413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C1413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C1413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C141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C141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9C141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 xml:space="preserve">Respirator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standard - </w:t>
            </w:r>
            <w:r>
              <w:rPr>
                <w:rFonts w:ascii="Garamond" w:hAnsi="Garamond"/>
                <w:sz w:val="22"/>
                <w:szCs w:val="22"/>
              </w:rPr>
              <w:t>przeznaczenie</w:t>
            </w:r>
            <w:r w:rsidRPr="00860155">
              <w:rPr>
                <w:rFonts w:ascii="Garamond" w:hAnsi="Garamond"/>
                <w:sz w:val="22"/>
                <w:szCs w:val="22"/>
              </w:rPr>
              <w:t>: OIOM – pacjent wielonarządowy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p w:rsidR="009C1413" w:rsidRPr="009B3B77" w:rsidRDefault="009C1413" w:rsidP="009C1413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9C1413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1413" w:rsidRPr="009B3B77" w:rsidRDefault="009C1413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413" w:rsidRPr="009B3B77" w:rsidRDefault="009C1413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860155" w:rsidRDefault="0097030B" w:rsidP="00860155">
      <w:pPr>
        <w:pStyle w:val="Podtytu"/>
        <w:rPr>
          <w:rFonts w:ascii="Garamond" w:hAnsi="Garamond"/>
          <w:i w:val="0"/>
        </w:rPr>
      </w:pPr>
      <w:r w:rsidRPr="00860155">
        <w:rPr>
          <w:rFonts w:ascii="Garamond" w:hAnsi="Garamond"/>
          <w:b/>
          <w:i w:val="0"/>
          <w:color w:val="auto"/>
          <w:sz w:val="22"/>
          <w:szCs w:val="22"/>
        </w:rPr>
        <w:lastRenderedPageBreak/>
        <w:t xml:space="preserve">PARAMETRY TECHNICZNE I EKSPLOATACYJNE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4840"/>
        <w:gridCol w:w="1822"/>
        <w:gridCol w:w="4678"/>
        <w:gridCol w:w="2410"/>
      </w:tblGrid>
      <w:tr w:rsidR="004A2FFA" w:rsidRPr="00860155" w:rsidTr="003E7B4E">
        <w:tc>
          <w:tcPr>
            <w:tcW w:w="817" w:type="dxa"/>
          </w:tcPr>
          <w:p w:rsidR="004A2FFA" w:rsidRPr="00860155" w:rsidRDefault="004A2FFA" w:rsidP="0097030B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840" w:type="dxa"/>
            <w:vAlign w:val="center"/>
          </w:tcPr>
          <w:p w:rsidR="004A2FFA" w:rsidRPr="00860155" w:rsidRDefault="004A2FFA" w:rsidP="004A2FFA">
            <w:pPr>
              <w:pStyle w:val="Nagwek3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outlineLvl w:val="2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PARAMETR</w:t>
            </w:r>
          </w:p>
        </w:tc>
        <w:tc>
          <w:tcPr>
            <w:tcW w:w="1822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678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SPOSÓB OCENY</w:t>
            </w:r>
          </w:p>
        </w:tc>
      </w:tr>
      <w:tr w:rsidR="00860155" w:rsidRPr="00860155" w:rsidTr="00333374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Parametry ogólne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Respirator do terapii niewydolności oddechowej różnego pochodzenia, do stosowania w warunkach intensywnej terapii</w:t>
            </w:r>
          </w:p>
        </w:tc>
        <w:tc>
          <w:tcPr>
            <w:tcW w:w="1822" w:type="dxa"/>
            <w:vAlign w:val="center"/>
          </w:tcPr>
          <w:p w:rsidR="00D11879" w:rsidRPr="00860155" w:rsidRDefault="00614687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</w:t>
            </w:r>
            <w:r w:rsidR="00D11879" w:rsidRPr="00860155">
              <w:rPr>
                <w:rFonts w:ascii="Garamond" w:hAnsi="Garamond"/>
              </w:rPr>
              <w:t>ak</w:t>
            </w:r>
            <w:r w:rsidR="003516EB">
              <w:rPr>
                <w:rFonts w:ascii="Garamond" w:hAnsi="Garamond"/>
              </w:rPr>
              <w:t xml:space="preserve">, </w:t>
            </w:r>
            <w:r w:rsidR="003516EB" w:rsidRPr="003516EB">
              <w:rPr>
                <w:rFonts w:ascii="Garamond" w:hAnsi="Garamond"/>
                <w:color w:val="FF000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B716A1" w:rsidRPr="00B716A1" w:rsidRDefault="00B716A1" w:rsidP="00B716A1">
            <w:pPr>
              <w:snapToGrid w:val="0"/>
              <w:rPr>
                <w:rFonts w:ascii="Garamond" w:hAnsi="Garamond"/>
                <w:color w:val="FF0000"/>
                <w:sz w:val="20"/>
                <w:szCs w:val="20"/>
              </w:rPr>
            </w:pPr>
          </w:p>
          <w:p w:rsidR="00B716A1" w:rsidRPr="00B716A1" w:rsidRDefault="00B716A1" w:rsidP="00B716A1">
            <w:pPr>
              <w:snapToGrid w:val="0"/>
              <w:rPr>
                <w:rFonts w:ascii="Garamond" w:hAnsi="Garamond" w:cs="Tahoma"/>
                <w:color w:val="FF0000"/>
                <w:sz w:val="20"/>
                <w:szCs w:val="20"/>
              </w:rPr>
            </w:pPr>
            <w:r w:rsidRPr="00B716A1">
              <w:rPr>
                <w:rFonts w:ascii="Garamond" w:hAnsi="Garamond"/>
                <w:color w:val="FF0000"/>
                <w:sz w:val="20"/>
                <w:szCs w:val="20"/>
              </w:rPr>
              <w:t xml:space="preserve">- respirator z </w:t>
            </w: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funkcją automatycznych </w:t>
            </w:r>
            <w:proofErr w:type="spellStart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triggerów</w:t>
            </w:r>
            <w:proofErr w:type="spellEnd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 na wdechu i wydechu pacjenta, która w czasie rzeczywistym analizuje krzywą przepływu </w:t>
            </w: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br/>
              <w:t xml:space="preserve">i dostosowuje czułość wyzwalania oddechów do potrzeb pacjenta, </w:t>
            </w:r>
            <w:proofErr w:type="spellStart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minmalizując</w:t>
            </w:r>
            <w:proofErr w:type="spellEnd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 tym samym pracę operatora – 5 pkt.</w:t>
            </w:r>
          </w:p>
          <w:p w:rsidR="00B716A1" w:rsidRPr="00B716A1" w:rsidRDefault="00B716A1" w:rsidP="00B716A1">
            <w:pPr>
              <w:snapToGrid w:val="0"/>
              <w:rPr>
                <w:rFonts w:ascii="Garamond" w:hAnsi="Garamond" w:cs="Tahoma"/>
                <w:color w:val="FF0000"/>
                <w:sz w:val="20"/>
                <w:szCs w:val="20"/>
              </w:rPr>
            </w:pPr>
          </w:p>
          <w:p w:rsidR="00B716A1" w:rsidRPr="00860155" w:rsidRDefault="00B716A1" w:rsidP="00B716A1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- </w:t>
            </w: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brak w/w rozwiązania – 0 pkt.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Respirator dla dzieci i dorosłych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Zasilanie w tlen i powietrze z centralnego źródła sprężonych gazów od 3,0 do 6,0 bar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Respirator stacjonarny na podstawie jezdnej </w:t>
            </w:r>
            <w:r w:rsidRPr="00A1649A">
              <w:rPr>
                <w:rFonts w:ascii="Garamond" w:hAnsi="Garamond"/>
                <w:strike/>
                <w:color w:val="FF0000"/>
                <w:sz w:val="20"/>
                <w:szCs w:val="20"/>
              </w:rPr>
              <w:t>z możliwością montażu na półce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Zasilanie AC 230 VAC 50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Hz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>+/-10%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Awaryjne zasilanie respiratora z wewnętrznego akumulatora min 60 minut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prowadzenia wentylacji awaryjnie przy braku zasilania powietrzem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prowadzenia wentylacji awaryjnie przy braku zasilania tlenem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860155" w:rsidRPr="00860155" w:rsidTr="00011A7B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Tryby wentylacji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kontrolowana objętością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kontrolowana ciśnieniem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na dwóch poziomach ciśnienia typu BIPAP,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BlLEVEL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DuoPAP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3516EB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</w:t>
            </w:r>
            <w:r w:rsidR="00D11879" w:rsidRPr="00860155">
              <w:rPr>
                <w:rFonts w:ascii="Garamond" w:hAnsi="Garamond"/>
                <w:sz w:val="20"/>
                <w:szCs w:val="20"/>
              </w:rPr>
              <w:t>ak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EA001D">
              <w:rPr>
                <w:rFonts w:ascii="Garamond" w:hAnsi="Garamond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B716A1" w:rsidRPr="00B716A1" w:rsidRDefault="00B716A1" w:rsidP="00B716A1">
            <w:pPr>
              <w:snapToGrid w:val="0"/>
              <w:rPr>
                <w:rFonts w:ascii="Garamond" w:hAnsi="Garamond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B716A1" w:rsidRDefault="00B716A1" w:rsidP="00B716A1">
            <w:pPr>
              <w:snapToGrid w:val="0"/>
              <w:rPr>
                <w:rFonts w:ascii="Garamond" w:hAnsi="Garamond" w:cs="Tahoma"/>
                <w:color w:val="FF0000"/>
                <w:sz w:val="20"/>
                <w:szCs w:val="20"/>
              </w:rPr>
            </w:pPr>
            <w:r w:rsidRPr="00B716A1">
              <w:rPr>
                <w:rFonts w:ascii="Garamond" w:hAnsi="Garamond"/>
                <w:color w:val="FF0000"/>
                <w:sz w:val="20"/>
                <w:szCs w:val="20"/>
              </w:rPr>
              <w:t xml:space="preserve">- </w:t>
            </w: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wentylacja adaptacyjn</w:t>
            </w:r>
            <w:r>
              <w:rPr>
                <w:rFonts w:ascii="Garamond" w:hAnsi="Garamond" w:cs="Tahoma"/>
                <w:color w:val="FF0000"/>
                <w:sz w:val="20"/>
                <w:szCs w:val="20"/>
              </w:rPr>
              <w:t>a</w:t>
            </w: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 według wzoru </w:t>
            </w:r>
            <w:proofErr w:type="spellStart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Mead’a</w:t>
            </w:r>
            <w:proofErr w:type="spellEnd"/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 dla pacjentów z chorobami restrykcyjnymi</w:t>
            </w:r>
            <w:r w:rsidR="00011DA5">
              <w:rPr>
                <w:rFonts w:ascii="Garamond" w:hAnsi="Garamond" w:cs="Tahoma"/>
                <w:color w:val="FF0000"/>
                <w:sz w:val="20"/>
                <w:szCs w:val="20"/>
              </w:rPr>
              <w:t xml:space="preserve"> – 10 pkt.</w:t>
            </w:r>
          </w:p>
          <w:p w:rsidR="00B716A1" w:rsidRPr="00B716A1" w:rsidRDefault="00B716A1" w:rsidP="00B716A1">
            <w:pPr>
              <w:snapToGrid w:val="0"/>
              <w:rPr>
                <w:rFonts w:ascii="Garamond" w:hAnsi="Garamond" w:cs="Tahoma"/>
                <w:color w:val="FF0000"/>
                <w:sz w:val="20"/>
                <w:szCs w:val="20"/>
              </w:rPr>
            </w:pPr>
          </w:p>
          <w:p w:rsidR="00B716A1" w:rsidRPr="00B716A1" w:rsidRDefault="00B716A1" w:rsidP="00B716A1">
            <w:pPr>
              <w:snapToGrid w:val="0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B716A1">
              <w:rPr>
                <w:rFonts w:ascii="Garamond" w:hAnsi="Garamond" w:cs="Tahoma"/>
                <w:color w:val="FF0000"/>
                <w:sz w:val="20"/>
                <w:szCs w:val="20"/>
              </w:rPr>
              <w:t>- brak w/w rozwiązania – 0 pkt.</w:t>
            </w:r>
          </w:p>
          <w:p w:rsidR="00B716A1" w:rsidRPr="00860155" w:rsidRDefault="00B716A1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APRV wentylacja z uwolnieniem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SIMV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nieinwazyjna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nieinwazyjna z obowiązkową ilością oddechów.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5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PSV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PEEP/CPAP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APVcmv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lub PRVC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APVsimv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lub SIMV PC i VC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3E7B4E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Tryb wentylacji automatycznej adaptacyjnej  w zamkniętej pętli oddechowej wg wzoru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Otisa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dla pacjentów aktywnych i nieaktywnych oddechowo.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20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Automatyczny protokół odzwyczajania pacjenta od respiratora lub automatyczna próba oddechu spontanicznego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Wdech manualny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Oddech spontaniczny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bezdechu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Westchnienia automatyczne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860155" w:rsidRPr="00860155" w:rsidTr="00E20F1E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Parametry nastawialne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Częstość oddechów minimalny zakres od 5</w:t>
            </w:r>
            <w:r w:rsidR="00A1649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60155">
              <w:rPr>
                <w:rFonts w:ascii="Garamond" w:hAnsi="Garamond"/>
                <w:sz w:val="20"/>
                <w:szCs w:val="20"/>
              </w:rPr>
              <w:t>-</w:t>
            </w:r>
            <w:r w:rsidR="00A1649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649A">
              <w:rPr>
                <w:rFonts w:ascii="Garamond" w:hAnsi="Garamond"/>
                <w:strike/>
                <w:sz w:val="20"/>
                <w:szCs w:val="20"/>
              </w:rPr>
              <w:t>120</w:t>
            </w:r>
            <w:r w:rsidR="00A1649A">
              <w:rPr>
                <w:rFonts w:ascii="Garamond" w:hAnsi="Garamond"/>
                <w:strike/>
                <w:sz w:val="20"/>
                <w:szCs w:val="20"/>
              </w:rPr>
              <w:t> </w:t>
            </w:r>
            <w:r w:rsidR="00A1649A" w:rsidRPr="00A1649A">
              <w:rPr>
                <w:rFonts w:ascii="Garamond" w:hAnsi="Garamond"/>
                <w:color w:val="FF0000"/>
                <w:sz w:val="20"/>
                <w:szCs w:val="20"/>
              </w:rPr>
              <w:t xml:space="preserve">100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odd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>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Objętość wdechowa minimalny zakres od </w:t>
            </w:r>
            <w:r w:rsidRPr="00A1649A">
              <w:rPr>
                <w:rFonts w:ascii="Garamond" w:hAnsi="Garamond"/>
                <w:strike/>
                <w:sz w:val="20"/>
                <w:szCs w:val="20"/>
              </w:rPr>
              <w:t>20</w:t>
            </w:r>
            <w:r w:rsidRPr="0086015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1649A">
              <w:rPr>
                <w:rFonts w:ascii="Garamond" w:hAnsi="Garamond"/>
                <w:color w:val="FF0000"/>
                <w:sz w:val="20"/>
                <w:szCs w:val="20"/>
              </w:rPr>
              <w:t xml:space="preserve">25 </w:t>
            </w:r>
            <w:r w:rsidRPr="00860155">
              <w:rPr>
                <w:rFonts w:ascii="Garamond" w:hAnsi="Garamond"/>
                <w:sz w:val="20"/>
                <w:szCs w:val="20"/>
              </w:rPr>
              <w:t>do 1800 ml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PEEP/CPAP minimum do 50 cmH2O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Stężenie tlenu minimalny zakres od 21-100%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Stosunek I:E minimalny zakres od 1:9 do 4:1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wdechu minimalny zakres od 0.25 do </w:t>
            </w:r>
            <w:r w:rsidRPr="00A516C2">
              <w:rPr>
                <w:rFonts w:ascii="Garamond" w:hAnsi="Garamond"/>
                <w:strike/>
                <w:sz w:val="20"/>
                <w:szCs w:val="20"/>
              </w:rPr>
              <w:t>9</w:t>
            </w:r>
            <w:r w:rsidRPr="0086015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516C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516C2">
              <w:rPr>
                <w:rFonts w:ascii="Garamond" w:hAnsi="Garamond"/>
                <w:color w:val="FF0000"/>
                <w:sz w:val="20"/>
                <w:szCs w:val="20"/>
              </w:rPr>
              <w:t xml:space="preserve">8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Przepływ szczytowy /dla oddechów obowiązkowych VCV/ minimalny zakres od </w:t>
            </w:r>
            <w:r w:rsidRPr="00A516C2">
              <w:rPr>
                <w:rFonts w:ascii="Garamond" w:hAnsi="Garamond"/>
                <w:strike/>
                <w:sz w:val="20"/>
                <w:szCs w:val="20"/>
              </w:rPr>
              <w:t>2</w:t>
            </w:r>
            <w:r w:rsidRPr="0086015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516C2">
              <w:rPr>
                <w:rFonts w:ascii="Garamond" w:hAnsi="Garamond"/>
                <w:color w:val="FF0000"/>
                <w:sz w:val="20"/>
                <w:szCs w:val="20"/>
              </w:rPr>
              <w:t xml:space="preserve">3 </w:t>
            </w:r>
            <w:r w:rsidRPr="00860155">
              <w:rPr>
                <w:rFonts w:ascii="Garamond" w:hAnsi="Garamond"/>
                <w:sz w:val="20"/>
                <w:szCs w:val="20"/>
              </w:rPr>
              <w:t>do 150 l/min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trwania fazy niskiego ciśnienia /APRV/ minimum do 30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trwania fazy wysokiego ciśnienia /APRV;BILEVEL;BIPAP/ minimalny zakres od 0.25 do 15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Wyzwalanie przepływem minimalny zakres od 1 do 9 l/min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Ciśnienie wdechu minimalny zakres od 5 do </w:t>
            </w:r>
            <w:r w:rsidRPr="00A516C2">
              <w:rPr>
                <w:rFonts w:ascii="Garamond" w:hAnsi="Garamond"/>
                <w:strike/>
                <w:sz w:val="20"/>
                <w:szCs w:val="20"/>
              </w:rPr>
              <w:t>98</w:t>
            </w:r>
            <w:r w:rsidRPr="0086015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516C2">
              <w:rPr>
                <w:rFonts w:ascii="Garamond" w:hAnsi="Garamond"/>
                <w:color w:val="FF0000"/>
                <w:sz w:val="20"/>
                <w:szCs w:val="20"/>
              </w:rPr>
              <w:t xml:space="preserve">90 </w:t>
            </w:r>
            <w:r w:rsidRPr="00860155">
              <w:rPr>
                <w:rFonts w:ascii="Garamond" w:hAnsi="Garamond"/>
                <w:sz w:val="20"/>
                <w:szCs w:val="20"/>
              </w:rPr>
              <w:t>cmH2O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Niskie ciśnienie w trybach /APRV;BILEVEL;BIPAP/ do </w:t>
            </w:r>
            <w:r w:rsidRPr="00A516C2">
              <w:rPr>
                <w:rFonts w:ascii="Garamond" w:hAnsi="Garamond"/>
                <w:strike/>
                <w:sz w:val="20"/>
                <w:szCs w:val="20"/>
              </w:rPr>
              <w:t>50</w:t>
            </w:r>
            <w:r w:rsidR="00A516C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516C2" w:rsidRPr="00A516C2">
              <w:rPr>
                <w:rFonts w:ascii="Garamond" w:hAnsi="Garamond"/>
                <w:color w:val="FF0000"/>
                <w:sz w:val="20"/>
                <w:szCs w:val="20"/>
              </w:rPr>
              <w:t>45</w:t>
            </w:r>
            <w:r w:rsidR="00A516C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60155">
              <w:rPr>
                <w:rFonts w:ascii="Garamond" w:hAnsi="Garamond"/>
                <w:sz w:val="20"/>
                <w:szCs w:val="20"/>
              </w:rPr>
              <w:t>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wspomagania minimalny zakres od 0 do 60 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Czułość rozpoczęcia fazy wydechu minimalny zakres od10 do 40% przepływu szczytowego wdechowego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Kształt krzywej przepływu: prostokątna,  opadająca 50%, opadająca 100%, sinusoidalna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860155" w:rsidRPr="00860155" w:rsidTr="00881F98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Monitorowanie i obrazowanie parametrów wentylacji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Kolorowy, dotykowy monitor o przekątnej min 15”,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Ekran ruchomy w dwóch płaszczyznach z możliwością instalacji poza respiratorem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wyboru parametrów monitorowanych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Ciśnienie szczytowe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średnie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minimalne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plateau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PEEP/CPAP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Przepływ szczytowy wdechowy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Przepływ szczytowy wydechowy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Objętość pojedynczego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minutowa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Stosunek I:E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Całkowita częstość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Częstość oddechów spontanicznych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Czas wdechu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Czas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Stężenie O2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Podatność statyczna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AutoPEEP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Stała czasowa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Stała czasowa wdechu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Opory wydechowe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Opory wdechowe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Graficzna prezentacja trybu adaptacyjnej wentylacji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wyświetlania w formie pętli parametrów: ciśnienie, objętość, przepływ w dowolnej wzajemnej zależności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Ilość jednocześnie wyświetlanych krzywych na ekranie respiratora – min. 4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Graficzna prezentacja (jednoczesna) dwóch krzywych i dwóch pętli w czasie rzeczywistym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Pomiar parametrów wentylacji w czasie rzeczywistym przy użyciu czujnika proksymalnego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Trendy mierzonych parametrów /72 godzinne/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zatrzymania krzywych prezentowanych na monitorze w dowolnym momencie w celu ich analizy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Alarmy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wentylacji minutowej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wentylacji minutowej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Niskiego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Wysokiego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objętości wydychanej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objętości wydychanej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częstości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częstości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Bezdechu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Stężenia 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Rozłączenia układu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Zatkania gałęzi wydechowej układu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sieciowego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powietrzem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bateryjnego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Poziom głośności alarmów - ustawialny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Hierarchia ważności alarmów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860155" w:rsidRPr="00860155" w:rsidTr="00D06827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Inne funkcje i wyposażenie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Integralny nebulizator synchroniczny z regulowanym czasem nebulizacji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rekrutacji pęcherzyków płucnych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Pomiar CO2 wyświetlany na ekranie respiratora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automatycznej wentylacji w zamkniętej pętli oddechowej bazującej na pomiarach CO2 i SpO2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Terapia wysokim przepływem tlenu - High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Zabezpieczenie przed przypadkową zmianą parametrów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Wstępne ustawienie parametrów wentylacji na podstawie wzrostu i płci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Pamięć alarmów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„zawieszenia” pracy respiratora (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Standbay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Kompensacja oporu rurki dotchawicznej,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trachestomijnej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Automatyczna kompensacja przecieku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Przytrzymanie na szczycie wdechu/wydechu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Pamięć zdarzeń wyświetlana na monitorze respiratora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Autotest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aparatu samoczynny i na żądanie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Kompletny układ pacjenta jednorazowy wraz z czujnikiem przepływu 5 szt. (Zamawiający nie wymaga czujnika przepływu przy czujniku wielorazowym)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Ramię podtrzymujące układ oddechowy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Możliwość stosowania wentylacji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Heliox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Wizualizacja stanu wentylacji płuc w czasie rzeczywistym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9744F2" w:rsidRPr="00860155" w:rsidTr="001844CD">
        <w:tc>
          <w:tcPr>
            <w:tcW w:w="817" w:type="dxa"/>
          </w:tcPr>
          <w:p w:rsidR="009744F2" w:rsidRPr="00860155" w:rsidRDefault="009744F2" w:rsidP="001844C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9744F2" w:rsidRPr="00860155" w:rsidRDefault="009744F2" w:rsidP="001844CD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Komunikacja w języku polskim</w:t>
            </w:r>
          </w:p>
        </w:tc>
        <w:tc>
          <w:tcPr>
            <w:tcW w:w="1822" w:type="dxa"/>
            <w:vAlign w:val="center"/>
          </w:tcPr>
          <w:p w:rsidR="009744F2" w:rsidRPr="00860155" w:rsidRDefault="009744F2" w:rsidP="001844CD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9744F2" w:rsidRPr="00860155" w:rsidRDefault="009744F2" w:rsidP="001844CD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744F2" w:rsidRPr="00860155" w:rsidRDefault="009744F2" w:rsidP="001844CD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9744F2" w:rsidRPr="009744F2" w:rsidTr="00715F24">
        <w:tc>
          <w:tcPr>
            <w:tcW w:w="817" w:type="dxa"/>
          </w:tcPr>
          <w:p w:rsidR="00D11879" w:rsidRPr="009744F2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9744F2" w:rsidRDefault="00F76330" w:rsidP="00DB4FD4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76330">
              <w:rPr>
                <w:rFonts w:ascii="Garamond" w:hAnsi="Garamond"/>
                <w:color w:val="FF0000"/>
                <w:sz w:val="22"/>
                <w:szCs w:val="22"/>
              </w:rPr>
              <w:t xml:space="preserve">nebulizator z regulowanym czasem nebulizacji 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oraz n</w:t>
            </w:r>
            <w:r w:rsidR="009744F2">
              <w:rPr>
                <w:rFonts w:ascii="Garamond" w:hAnsi="Garamond"/>
                <w:color w:val="FF0000"/>
                <w:sz w:val="22"/>
                <w:szCs w:val="22"/>
              </w:rPr>
              <w:t xml:space="preserve">awilżacz </w:t>
            </w:r>
            <w:r w:rsidR="009744F2" w:rsidRPr="00C236C2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aktywny  zaawansowany (klasy co najmniej MR 850) z wyposażeniem dostosowanym do oferowanych układów </w:t>
            </w:r>
            <w:r w:rsidR="009744F2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- </w:t>
            </w:r>
            <w:r w:rsidR="009744F2" w:rsidRPr="00C236C2">
              <w:rPr>
                <w:rFonts w:ascii="Garamond" w:hAnsi="Garamond"/>
                <w:color w:val="FF0000"/>
                <w:sz w:val="22"/>
                <w:szCs w:val="22"/>
              </w:rPr>
              <w:t>d</w:t>
            </w:r>
            <w:r w:rsidR="009744F2">
              <w:rPr>
                <w:rFonts w:ascii="Garamond" w:hAnsi="Garamond"/>
                <w:color w:val="FF0000"/>
                <w:sz w:val="22"/>
                <w:szCs w:val="22"/>
              </w:rPr>
              <w:t xml:space="preserve">o każdego respiratora w </w:t>
            </w:r>
            <w:r w:rsidR="00DB4FD4">
              <w:rPr>
                <w:rFonts w:ascii="Garamond" w:hAnsi="Garamond"/>
                <w:color w:val="FF0000"/>
                <w:sz w:val="22"/>
                <w:szCs w:val="22"/>
              </w:rPr>
              <w:t>niniejszej części</w:t>
            </w:r>
          </w:p>
        </w:tc>
        <w:tc>
          <w:tcPr>
            <w:tcW w:w="1822" w:type="dxa"/>
            <w:vAlign w:val="center"/>
          </w:tcPr>
          <w:p w:rsidR="00D11879" w:rsidRPr="009744F2" w:rsidRDefault="00D11879" w:rsidP="003B7FB2">
            <w:pPr>
              <w:snapToGrid w:val="0"/>
              <w:jc w:val="center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9744F2">
              <w:rPr>
                <w:rFonts w:ascii="Garamond" w:hAnsi="Garamond"/>
                <w:color w:val="FF0000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9744F2" w:rsidRDefault="00D11879" w:rsidP="003B7FB2">
            <w:pPr>
              <w:snapToGrid w:val="0"/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9744F2" w:rsidRDefault="00D11879" w:rsidP="003B7FB2">
            <w:pPr>
              <w:snapToGrid w:val="0"/>
              <w:jc w:val="center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9744F2">
              <w:rPr>
                <w:rFonts w:ascii="Garamond" w:hAnsi="Garamond"/>
                <w:color w:val="FF0000"/>
                <w:sz w:val="20"/>
                <w:szCs w:val="20"/>
              </w:rPr>
              <w:t>---</w:t>
            </w:r>
          </w:p>
        </w:tc>
      </w:tr>
    </w:tbl>
    <w:p w:rsidR="004A2FFA" w:rsidRPr="00860155" w:rsidRDefault="004A2FFA" w:rsidP="0097030B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</w:p>
    <w:p w:rsidR="008E04F1" w:rsidRPr="00860155" w:rsidRDefault="008E04F1" w:rsidP="008E04F1">
      <w:pPr>
        <w:spacing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860155">
        <w:rPr>
          <w:rFonts w:ascii="Garamond" w:hAnsi="Garamond"/>
          <w:b/>
          <w:color w:val="000000" w:themeColor="text1"/>
          <w:sz w:val="20"/>
          <w:szCs w:val="20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860155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860155" w:rsidRPr="00860155" w:rsidTr="00973A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60155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5110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860155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860155">
              <w:rPr>
                <w:rFonts w:ascii="Garamond" w:hAnsi="Garamond"/>
                <w:sz w:val="20"/>
                <w:szCs w:val="20"/>
              </w:rPr>
              <w:t>48</w:t>
            </w:r>
            <w:r w:rsidRPr="00860155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860155">
              <w:rPr>
                <w:rFonts w:ascii="Garamond" w:eastAsia="Calibri" w:hAnsi="Garamond"/>
                <w:sz w:val="20"/>
                <w:szCs w:val="20"/>
              </w:rPr>
              <w:t xml:space="preserve">5 </w:t>
            </w: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860155">
              <w:rPr>
                <w:rFonts w:ascii="Garamond" w:eastAsia="Calibri" w:hAnsi="Garamond"/>
                <w:sz w:val="20"/>
                <w:szCs w:val="20"/>
              </w:rPr>
              <w:t>10</w:t>
            </w:r>
            <w:r w:rsidRPr="00860155">
              <w:rPr>
                <w:rFonts w:ascii="Garamond" w:eastAsia="Calibri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9C1413">
        <w:trPr>
          <w:trHeight w:val="28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9160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Szkolenia dla personelu technicznego (min. 2 osoby) z zakresu podstawowej diagnostyki stanu technicznego </w:t>
            </w:r>
            <w:r w:rsidRPr="00860155">
              <w:rPr>
                <w:rFonts w:ascii="Garamond" w:hAnsi="Garamond"/>
                <w:sz w:val="20"/>
                <w:szCs w:val="20"/>
              </w:rPr>
              <w:lastRenderedPageBreak/>
              <w:t>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8E04F1" w:rsidRPr="00860155" w:rsidRDefault="008E04F1" w:rsidP="008E04F1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8E04F1" w:rsidRPr="00860155" w:rsidRDefault="008E04F1" w:rsidP="008E04F1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8E04F1" w:rsidRPr="009C1413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</w:rPr>
            </w:pPr>
            <w:r w:rsidRPr="009C1413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5C233B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55" w:rsidRPr="00860155" w:rsidRDefault="0086015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8E04F1" w:rsidRPr="009C1413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0"/>
                <w:szCs w:val="20"/>
              </w:rPr>
            </w:pPr>
            <w:r w:rsidRPr="009C1413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8E04F1" w:rsidRPr="00860155" w:rsidRDefault="008E04F1" w:rsidP="008E04F1">
      <w:pPr>
        <w:spacing w:line="288" w:lineRule="auto"/>
        <w:rPr>
          <w:rFonts w:ascii="Garamond" w:eastAsia="Calibri" w:hAnsi="Garamond" w:cs="Calibri"/>
          <w:b/>
          <w:color w:val="000000" w:themeColor="text1"/>
        </w:rPr>
      </w:pPr>
    </w:p>
    <w:sectPr w:rsidR="008E04F1" w:rsidRPr="00860155" w:rsidSect="00860155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10" w:rsidRDefault="00EB1810" w:rsidP="0097030B">
      <w:r>
        <w:separator/>
      </w:r>
    </w:p>
  </w:endnote>
  <w:endnote w:type="continuationSeparator" w:id="0">
    <w:p w:rsidR="00EB1810" w:rsidRDefault="00EB181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5A67" w:rsidRDefault="00605A67" w:rsidP="00605A6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605A67" w:rsidRDefault="00605A67" w:rsidP="00605A67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605A67" w:rsidRPr="00860155" w:rsidRDefault="00605A67" w:rsidP="00860155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10" w:rsidRDefault="00EB1810" w:rsidP="0097030B">
      <w:r>
        <w:separator/>
      </w:r>
    </w:p>
  </w:footnote>
  <w:footnote w:type="continuationSeparator" w:id="0">
    <w:p w:rsidR="00EB1810" w:rsidRDefault="00EB181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67" w:rsidRDefault="00605A67" w:rsidP="00605A67">
    <w:pPr>
      <w:tabs>
        <w:tab w:val="center" w:pos="4536"/>
        <w:tab w:val="right" w:pos="14040"/>
      </w:tabs>
      <w:suppressAutoHyphens w:val="0"/>
      <w:jc w:val="center"/>
      <w:rPr>
        <w:rFonts w:ascii="Garamond" w:hAnsi="Garamond"/>
        <w:kern w:val="0"/>
        <w:sz w:val="22"/>
        <w:szCs w:val="22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58FE3ABA" wp14:editId="2C1FDBE5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5A67" w:rsidRDefault="00605A67" w:rsidP="00605A6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  <w:p w:rsidR="009C1413" w:rsidRDefault="009C1413" w:rsidP="009C141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4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9C1413" w:rsidRPr="00EA6D32" w:rsidRDefault="009C1413" w:rsidP="009C1413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4A2FFA" w:rsidRPr="00605A67" w:rsidRDefault="004A2FFA" w:rsidP="009C141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5696"/>
    <w:multiLevelType w:val="hybridMultilevel"/>
    <w:tmpl w:val="EF92738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11DA5"/>
    <w:rsid w:val="000D6596"/>
    <w:rsid w:val="001D4195"/>
    <w:rsid w:val="001F1ED7"/>
    <w:rsid w:val="002B3EFE"/>
    <w:rsid w:val="00313679"/>
    <w:rsid w:val="00330F92"/>
    <w:rsid w:val="003516EB"/>
    <w:rsid w:val="00355B18"/>
    <w:rsid w:val="00386BDE"/>
    <w:rsid w:val="003B07FE"/>
    <w:rsid w:val="003E7B4E"/>
    <w:rsid w:val="0043788E"/>
    <w:rsid w:val="004A2FFA"/>
    <w:rsid w:val="00605A67"/>
    <w:rsid w:val="00614687"/>
    <w:rsid w:val="00631221"/>
    <w:rsid w:val="006C7999"/>
    <w:rsid w:val="00732C45"/>
    <w:rsid w:val="00735DF3"/>
    <w:rsid w:val="00743A27"/>
    <w:rsid w:val="00805193"/>
    <w:rsid w:val="00846A22"/>
    <w:rsid w:val="00860155"/>
    <w:rsid w:val="008B6C00"/>
    <w:rsid w:val="008E04F1"/>
    <w:rsid w:val="009146ED"/>
    <w:rsid w:val="0097030B"/>
    <w:rsid w:val="009744F2"/>
    <w:rsid w:val="009C1413"/>
    <w:rsid w:val="00A1649A"/>
    <w:rsid w:val="00A516C2"/>
    <w:rsid w:val="00AE2729"/>
    <w:rsid w:val="00B716A1"/>
    <w:rsid w:val="00B72F6E"/>
    <w:rsid w:val="00C50E5A"/>
    <w:rsid w:val="00D11879"/>
    <w:rsid w:val="00D67841"/>
    <w:rsid w:val="00DB4FD4"/>
    <w:rsid w:val="00EA001D"/>
    <w:rsid w:val="00EB1810"/>
    <w:rsid w:val="00F27370"/>
    <w:rsid w:val="00F45D90"/>
    <w:rsid w:val="00F57C1E"/>
    <w:rsid w:val="00F76330"/>
    <w:rsid w:val="00F912D9"/>
    <w:rsid w:val="00F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B29D-F58D-4861-8271-940FBF5E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A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5A6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60155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860155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9C141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2260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21</cp:revision>
  <dcterms:created xsi:type="dcterms:W3CDTF">2018-04-25T05:55:00Z</dcterms:created>
  <dcterms:modified xsi:type="dcterms:W3CDTF">2018-07-03T13:15:00Z</dcterms:modified>
</cp:coreProperties>
</file>