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A461" w14:textId="77777777" w:rsidR="00F15248" w:rsidRPr="000114FC" w:rsidRDefault="00F15248" w:rsidP="00F15248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771000E4" w14:textId="77777777" w:rsidR="00F15248" w:rsidRPr="000114FC" w:rsidRDefault="00F15248" w:rsidP="00F15248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F15248">
        <w:rPr>
          <w:rFonts w:ascii="Garamond" w:eastAsia="Times New Roman" w:hAnsi="Garamond" w:cs="Times New Roman"/>
          <w:b/>
          <w:color w:val="002060"/>
          <w:lang w:eastAsia="ar-SA"/>
        </w:rPr>
        <w:t>Destylarka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- 1 </w:t>
      </w: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sztuka</w:t>
      </w:r>
    </w:p>
    <w:p w14:paraId="3BFF1AFF" w14:textId="77777777" w:rsidR="00F15248" w:rsidRPr="00AE1C56" w:rsidRDefault="00F15248" w:rsidP="00F15248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44BB7F54" w14:textId="77777777" w:rsidR="00F15248" w:rsidRPr="00AE1C56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6810996C" w14:textId="77777777" w:rsidR="00F15248" w:rsidRPr="00A971B9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5FDAB141" w14:textId="77777777" w:rsidR="00F15248" w:rsidRPr="00AE1C56" w:rsidRDefault="00F15248" w:rsidP="00F15248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63CEEF77" w14:textId="77777777" w:rsidR="00F15248" w:rsidRPr="00AE1C56" w:rsidRDefault="00F15248" w:rsidP="00F15248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14C594CE" w14:textId="77777777" w:rsidR="00F15248" w:rsidRDefault="00F15248" w:rsidP="00F15248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AEA5DE0" w14:textId="77777777" w:rsidR="00F15248" w:rsidRPr="00AE1C56" w:rsidRDefault="00F15248" w:rsidP="00F15248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7D7182" w:rsidRPr="00AE1C56" w14:paraId="6E48F165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E8CBE0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5CE23CF2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AB38920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7F619597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5DB4C34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9BA4BCA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54A07BC6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2BB92B2E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97AD73E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7AFA7A8B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763C119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D7182" w:rsidRPr="00AE1C56" w14:paraId="774A47D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78A0513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957C5C1" w14:textId="77777777" w:rsidR="007D7182" w:rsidRPr="00AE1C56" w:rsidRDefault="007D7182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3AFF3A85" w14:textId="77777777" w:rsidR="00F15248" w:rsidRPr="00AE1C56" w:rsidRDefault="00F15248" w:rsidP="00F15248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6C74CA91" w14:textId="77777777" w:rsidR="00F15248" w:rsidRPr="00AE1C56" w:rsidRDefault="00F15248" w:rsidP="00F15248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578C1D1A" w14:textId="77777777" w:rsidR="00F15248" w:rsidRPr="00AE1C56" w:rsidRDefault="00F15248" w:rsidP="00F15248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1818"/>
        <w:gridCol w:w="3632"/>
        <w:gridCol w:w="5224"/>
      </w:tblGrid>
      <w:tr w:rsidR="00F15248" w:rsidRPr="000B2010" w14:paraId="77AA64C2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5552C" w14:textId="77777777" w:rsidR="00F15248" w:rsidRPr="000B2010" w:rsidRDefault="00F15248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153F3" w14:textId="77777777" w:rsidR="00F15248" w:rsidRPr="000B2010" w:rsidRDefault="00F15248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E5862" w14:textId="77777777" w:rsidR="00F15248" w:rsidRPr="000B2010" w:rsidRDefault="00F15248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18FE7" w14:textId="77777777" w:rsidR="00F15248" w:rsidRPr="000B2010" w:rsidRDefault="00F15248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F15248" w:rsidRPr="000B2010" w14:paraId="0506FA80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8707E" w14:textId="77777777" w:rsidR="00F15248" w:rsidRPr="000114FC" w:rsidRDefault="00F15248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15248">
              <w:rPr>
                <w:rFonts w:ascii="Garamond" w:hAnsi="Garamond"/>
                <w:b/>
                <w:sz w:val="22"/>
                <w:szCs w:val="22"/>
                <w:lang w:eastAsia="ar-SA"/>
              </w:rPr>
              <w:t>Destylarka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8218" w14:textId="77777777" w:rsidR="00F15248" w:rsidRPr="000B2010" w:rsidRDefault="00F15248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0E8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0B58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77C4B792" w14:textId="77777777" w:rsidR="00F15248" w:rsidRPr="000B2010" w:rsidRDefault="00F15248" w:rsidP="00F15248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F15248" w:rsidRPr="000B2010" w14:paraId="1A59171C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50C34949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F4910" w14:textId="77777777" w:rsidR="00F15248" w:rsidRPr="000B2010" w:rsidRDefault="00F15248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02D8F6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A0972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15248" w:rsidRPr="000B2010" w14:paraId="3566DC3A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6D84597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F2A972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255B29FF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61B6693" w14:textId="77777777" w:rsidR="00F15248" w:rsidRPr="000B2010" w:rsidRDefault="00F15248" w:rsidP="00F15248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F15248" w:rsidRPr="000B2010" w14:paraId="050FC2A8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AF683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F15248" w:rsidRPr="000B2010" w14:paraId="6E40BB7A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8AB49F3" w14:textId="77777777" w:rsidR="00F15248" w:rsidRPr="000B2010" w:rsidRDefault="00F15248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4652D1C" w14:textId="77777777" w:rsidR="00F15248" w:rsidRPr="000B2010" w:rsidRDefault="00F15248" w:rsidP="00F15248">
      <w:pPr>
        <w:rPr>
          <w:rFonts w:ascii="Garamond" w:hAnsi="Garamond"/>
        </w:rPr>
      </w:pPr>
    </w:p>
    <w:p w14:paraId="78805353" w14:textId="77777777" w:rsidR="00F15248" w:rsidRPr="000B2010" w:rsidRDefault="00F15248" w:rsidP="00F15248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F15248" w:rsidRPr="000B2010" w14:paraId="5ABE5C9F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99448" w14:textId="77777777" w:rsidR="00F15248" w:rsidRPr="000B2010" w:rsidRDefault="00F15248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7530" w14:textId="77777777" w:rsidR="00F15248" w:rsidRPr="000B2010" w:rsidRDefault="00F15248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53F423B7" w14:textId="77777777" w:rsidR="00002C7D" w:rsidRDefault="00002C7D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80B149F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C22FC3E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33A041" w14:textId="77777777" w:rsidR="00F15248" w:rsidRDefault="00F15248" w:rsidP="00002C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97AD43" w14:textId="77777777" w:rsidR="00F15248" w:rsidRDefault="00F1524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14:paraId="7DDEC066" w14:textId="77777777" w:rsidR="003034AD" w:rsidRPr="003034AD" w:rsidRDefault="003034AD" w:rsidP="004566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587F9D2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2C87D55E" w14:textId="77777777" w:rsidR="0045668D" w:rsidRPr="00F15248" w:rsidRDefault="0045668D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1843"/>
        <w:gridCol w:w="1843"/>
        <w:gridCol w:w="1984"/>
      </w:tblGrid>
      <w:tr w:rsidR="003034AD" w:rsidRPr="00F15248" w14:paraId="73B8380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3616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DA03" w14:textId="77777777" w:rsidR="003034AD" w:rsidRPr="00F15248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C6DD8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4EDF9F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59CAC" w14:textId="77777777" w:rsidR="003034AD" w:rsidRPr="00F15248" w:rsidRDefault="003034AD" w:rsidP="003034A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034AD" w:rsidRPr="00F15248" w14:paraId="40EAAA11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9E0DE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A8C0" w14:textId="77777777" w:rsidR="003034AD" w:rsidRPr="00F15248" w:rsidRDefault="0047139F" w:rsidP="00BD3D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>Wydajność: 8-10 l/godz</w:t>
            </w:r>
            <w:r w:rsidR="00F15248">
              <w:rPr>
                <w:rFonts w:ascii="Garamond" w:eastAsia="Times New Roman" w:hAnsi="Garamond" w:cs="Times New Roman"/>
                <w:kern w:val="3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A8A3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65503A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3784C" w14:textId="77777777" w:rsidR="003034AD" w:rsidRPr="00F15248" w:rsidRDefault="003034AD" w:rsidP="00BD3D1C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8FFB70B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B1955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8C79" w14:textId="77777777" w:rsidR="003034AD" w:rsidRPr="00F15248" w:rsidRDefault="00F15248" w:rsidP="00BD3D1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kern w:val="3"/>
                <w:lang w:eastAsia="zh-CN"/>
              </w:rPr>
            </w:pPr>
            <w:r>
              <w:rPr>
                <w:rFonts w:ascii="Garamond" w:eastAsia="Times New Roman" w:hAnsi="Garamond" w:cs="Times New Roman"/>
                <w:kern w:val="3"/>
                <w:lang w:eastAsia="zh-CN"/>
              </w:rPr>
              <w:t>Jakość wody: 0,067</w:t>
            </w:r>
            <w:r w:rsidR="0047139F"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 xml:space="preserve"> </w:t>
            </w:r>
            <w:proofErr w:type="spellStart"/>
            <w:r w:rsidR="0047139F"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>uS</w:t>
            </w:r>
            <w:proofErr w:type="spellEnd"/>
            <w:r w:rsidR="0047139F" w:rsidRPr="00F15248">
              <w:rPr>
                <w:rFonts w:ascii="Garamond" w:eastAsia="Times New Roman" w:hAnsi="Garamond" w:cs="Times New Roman"/>
                <w:kern w:val="3"/>
                <w:lang w:eastAsia="zh-CN"/>
              </w:rPr>
              <w:t>/cm</w:t>
            </w:r>
            <w:r>
              <w:rPr>
                <w:rFonts w:ascii="Garamond" w:eastAsia="Times New Roman" w:hAnsi="Garamond" w:cs="Times New Roman"/>
                <w:kern w:val="3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4D971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6BBEF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B1A3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3317694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1284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90C9F" w14:textId="77777777" w:rsidR="003034AD" w:rsidRPr="00F15248" w:rsidRDefault="00F15248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Monitorowanie jakości wody (</w:t>
            </w:r>
            <w:r w:rsidR="0047139F" w:rsidRPr="00F15248">
              <w:rPr>
                <w:rFonts w:ascii="Garamond" w:eastAsia="Times New Roman" w:hAnsi="Garamond" w:cs="Times New Roman"/>
                <w:lang w:eastAsia="pl-PL"/>
              </w:rPr>
              <w:t>próg alarmowy regulowany)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6123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95BBE6" w14:textId="77777777" w:rsidR="003034AD" w:rsidRPr="00F15248" w:rsidRDefault="003034AD" w:rsidP="00BD3D1C">
            <w:pPr>
              <w:spacing w:after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61A0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0808C811" w14:textId="77777777" w:rsidTr="00BE3A21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E529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9FDC1" w14:textId="77777777" w:rsidR="003034AD" w:rsidRPr="00F15248" w:rsidRDefault="00F15248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Automatyczna praca (</w:t>
            </w:r>
            <w:r w:rsidR="0047139F" w:rsidRPr="00F15248">
              <w:rPr>
                <w:rFonts w:ascii="Garamond" w:eastAsia="Times New Roman" w:hAnsi="Garamond" w:cs="Times New Roman"/>
                <w:lang w:eastAsia="pl-PL"/>
              </w:rPr>
              <w:t>bezobsługowa)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8C73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FEE6A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A1306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44B76BED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FE374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CA95" w14:textId="77777777" w:rsidR="003034AD" w:rsidRPr="00F15248" w:rsidRDefault="0047139F" w:rsidP="00BD3D1C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15248">
              <w:rPr>
                <w:rFonts w:ascii="Garamond" w:eastAsia="Times New Roman" w:hAnsi="Garamond" w:cs="Times New Roman"/>
                <w:lang w:eastAsia="pl-PL"/>
              </w:rPr>
              <w:t>System płukania membrany</w:t>
            </w:r>
            <w:r w:rsidR="00F15248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9901E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AE81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826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79939E0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2EC6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4D4D" w14:textId="77777777" w:rsidR="003034AD" w:rsidRPr="00F15248" w:rsidRDefault="00F15248" w:rsidP="00BD3D1C">
            <w:pPr>
              <w:spacing w:after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Elektroniczny s</w:t>
            </w:r>
            <w:r w:rsidR="0047139F" w:rsidRPr="00F15248">
              <w:rPr>
                <w:rFonts w:ascii="Garamond" w:hAnsi="Garamond" w:cs="Times New Roman"/>
              </w:rPr>
              <w:t>ystem rozpoznawania wkładów</w:t>
            </w:r>
            <w:r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967F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6B5F7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F9DE6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C8A291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E1E7F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92A1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Obudowa z tworzywa sztucznego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9EF9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A00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631D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36BDC0BE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10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DE8D" w14:textId="77777777" w:rsidR="003034AD" w:rsidRPr="0060361C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60361C">
              <w:rPr>
                <w:rFonts w:ascii="Garamond" w:hAnsi="Garamond" w:cs="Times New Roman"/>
              </w:rPr>
              <w:t>Łatwy dostę</w:t>
            </w:r>
            <w:r w:rsidR="00F15248" w:rsidRPr="0060361C">
              <w:rPr>
                <w:rFonts w:ascii="Garamond" w:hAnsi="Garamond" w:cs="Times New Roman"/>
              </w:rPr>
              <w:t xml:space="preserve">p do filtrów poprzez otwierane </w:t>
            </w:r>
            <w:r w:rsidRPr="0060361C">
              <w:rPr>
                <w:rFonts w:ascii="Garamond" w:hAnsi="Garamond" w:cs="Times New Roman"/>
              </w:rPr>
              <w:t>od frontu drzwi</w:t>
            </w:r>
          </w:p>
          <w:p w14:paraId="41C57D50" w14:textId="0C2D8E00" w:rsidR="0060361C" w:rsidRPr="0060361C" w:rsidRDefault="0060361C" w:rsidP="00BD3D1C">
            <w:pPr>
              <w:spacing w:after="0"/>
              <w:rPr>
                <w:rFonts w:ascii="Garamond" w:eastAsia="Calibri" w:hAnsi="Garamond" w:cs="Times New Roman"/>
                <w:b/>
                <w:color w:val="C00000"/>
              </w:rPr>
            </w:pPr>
            <w:r w:rsidRPr="0060361C">
              <w:rPr>
                <w:rFonts w:ascii="Garamond" w:hAnsi="Garamond" w:cs="Times New Roman"/>
                <w:b/>
                <w:color w:val="C00000"/>
              </w:rPr>
              <w:t>lub</w:t>
            </w:r>
          </w:p>
          <w:p w14:paraId="246141D7" w14:textId="3E2E723D" w:rsidR="0060361C" w:rsidRPr="0060361C" w:rsidRDefault="0060361C" w:rsidP="00BD3D1C">
            <w:pPr>
              <w:spacing w:after="0"/>
              <w:rPr>
                <w:rFonts w:ascii="Garamond" w:hAnsi="Garamond" w:cs="Times New Roman"/>
              </w:rPr>
            </w:pPr>
            <w:r w:rsidRPr="0060361C">
              <w:rPr>
                <w:rFonts w:ascii="Garamond" w:eastAsia="Calibri" w:hAnsi="Garamond" w:cs="Times New Roman"/>
                <w:color w:val="C00000"/>
              </w:rPr>
              <w:t>urządzenie z łatwym dostępem do filtrów poprzez otwierane z prawego boku drzwi</w:t>
            </w:r>
            <w:r>
              <w:rPr>
                <w:rFonts w:ascii="Garamond" w:eastAsia="Calibri" w:hAnsi="Garamond" w:cs="Times New Roman"/>
                <w:color w:val="C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7896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C62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57AA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31270" w:rsidRPr="00F15248" w14:paraId="1118CA6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1B66" w14:textId="77777777" w:rsidR="00C31270" w:rsidRPr="00F15248" w:rsidRDefault="00C31270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CF33" w14:textId="77777777" w:rsidR="0047139F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Wbudowany zasilacz. Układ mikroprocesorowy w osobnej izolowanej komorze.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CCBBD" w14:textId="0D8502D4" w:rsidR="00C31270" w:rsidRPr="00F15248" w:rsidRDefault="007D7182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Tak,</w:t>
            </w:r>
            <w:r w:rsidR="00C31270" w:rsidRPr="00F15248">
              <w:rPr>
                <w:rFonts w:ascii="Garamond" w:hAnsi="Garamond" w:cs="Times New Roman"/>
              </w:rPr>
              <w:t xml:space="preserve"> podać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075F" w14:textId="77777777" w:rsidR="00C31270" w:rsidRPr="00F15248" w:rsidRDefault="00C31270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AF24" w14:textId="77777777" w:rsidR="00C31270" w:rsidRPr="00F15248" w:rsidRDefault="00CF774C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1 godzina – 0 pkt</w:t>
            </w:r>
          </w:p>
          <w:p w14:paraId="6F7FB392" w14:textId="77777777" w:rsidR="00CF774C" w:rsidRPr="00F15248" w:rsidRDefault="00CF774C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Mniej  - 2 pkt.</w:t>
            </w:r>
          </w:p>
        </w:tc>
      </w:tr>
      <w:tr w:rsidR="003034AD" w:rsidRPr="00F15248" w14:paraId="124D9BBC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A57BD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EAF1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 xml:space="preserve">Wbudowane w </w:t>
            </w:r>
            <w:r w:rsidR="00F15248">
              <w:rPr>
                <w:rFonts w:ascii="Garamond" w:hAnsi="Garamond" w:cs="Times New Roman"/>
              </w:rPr>
              <w:t>środek urządzenia 2  filtry 10”.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EE0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56A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5103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1B77125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4540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8CCD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Monitorowanie czasu pracy elementów dejonizacji wody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B8B89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D24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8B0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77C0F373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687CA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2C79" w14:textId="77777777" w:rsidR="003034AD" w:rsidRPr="00F15248" w:rsidRDefault="0047139F" w:rsidP="00BD3D1C">
            <w:pPr>
              <w:spacing w:after="0"/>
              <w:rPr>
                <w:rFonts w:ascii="Garamond" w:hAnsi="Garamond" w:cs="Times New Roman"/>
              </w:rPr>
            </w:pPr>
            <w:r w:rsidRPr="00F15248">
              <w:rPr>
                <w:rFonts w:ascii="Garamond" w:hAnsi="Garamond" w:cs="Times New Roman"/>
              </w:rPr>
              <w:t>Możliwość zawieszenia na ścianie</w:t>
            </w:r>
            <w:r w:rsidR="00F15248">
              <w:rPr>
                <w:rFonts w:ascii="Garamond" w:hAnsi="Garamond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ADA80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3158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FCCC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034AD" w:rsidRPr="00F15248" w14:paraId="50C45472" w14:textId="77777777" w:rsidTr="003034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7EB6" w14:textId="77777777" w:rsidR="003034AD" w:rsidRPr="00F15248" w:rsidRDefault="003034AD" w:rsidP="00BD3D1C">
            <w:pPr>
              <w:pStyle w:val="Zawartotabeli"/>
              <w:numPr>
                <w:ilvl w:val="0"/>
                <w:numId w:val="19"/>
              </w:numPr>
              <w:snapToGrid w:val="0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5BE6" w14:textId="77777777" w:rsidR="0060361C" w:rsidRDefault="0047139F" w:rsidP="00BD3D1C">
            <w:pPr>
              <w:spacing w:after="0"/>
              <w:rPr>
                <w:rFonts w:ascii="Garamond" w:hAnsi="Garamond" w:cs="Times New Roman"/>
                <w:color w:val="FF0000"/>
              </w:rPr>
            </w:pPr>
            <w:r w:rsidRPr="00F15248">
              <w:rPr>
                <w:rFonts w:ascii="Garamond" w:hAnsi="Garamond" w:cs="Times New Roman"/>
              </w:rPr>
              <w:t xml:space="preserve">Zbiornik 20 litrowy bezciśnieniowy zabezpieczony filtrem  0,1 </w:t>
            </w:r>
            <w:proofErr w:type="spellStart"/>
            <w:r w:rsidRPr="00F15248">
              <w:rPr>
                <w:rFonts w:ascii="Garamond" w:hAnsi="Garamond" w:cs="Times New Roman"/>
              </w:rPr>
              <w:t>um</w:t>
            </w:r>
            <w:proofErr w:type="spellEnd"/>
            <w:r w:rsidR="0060361C" w:rsidRPr="00EE1A1F">
              <w:rPr>
                <w:rFonts w:ascii="Garamond" w:hAnsi="Garamond" w:cs="Times New Roman"/>
                <w:color w:val="FF0000"/>
              </w:rPr>
              <w:t xml:space="preserve"> </w:t>
            </w:r>
          </w:p>
          <w:p w14:paraId="6D1392F1" w14:textId="73FBF2E8" w:rsidR="0060361C" w:rsidRPr="0060361C" w:rsidRDefault="0060361C" w:rsidP="00BD3D1C">
            <w:pPr>
              <w:spacing w:after="0"/>
              <w:rPr>
                <w:rFonts w:ascii="Garamond" w:eastAsia="Calibri" w:hAnsi="Garamond" w:cs="Times New Roman"/>
                <w:b/>
                <w:color w:val="C00000"/>
              </w:rPr>
            </w:pPr>
            <w:r w:rsidRPr="0060361C">
              <w:rPr>
                <w:rFonts w:ascii="Garamond" w:eastAsia="Calibri" w:hAnsi="Garamond" w:cs="Times New Roman"/>
                <w:b/>
                <w:color w:val="C00000"/>
              </w:rPr>
              <w:t>lub</w:t>
            </w:r>
          </w:p>
          <w:p w14:paraId="3831D061" w14:textId="479E7F73" w:rsidR="003034AD" w:rsidRPr="00F15248" w:rsidRDefault="0060361C" w:rsidP="00BD3D1C">
            <w:pPr>
              <w:spacing w:after="0"/>
              <w:rPr>
                <w:rFonts w:ascii="Garamond" w:hAnsi="Garamond" w:cs="Times New Roman"/>
              </w:rPr>
            </w:pPr>
            <w:r w:rsidRPr="0060361C">
              <w:rPr>
                <w:rFonts w:ascii="Garamond" w:eastAsia="Calibri" w:hAnsi="Garamond" w:cs="Times New Roman"/>
                <w:color w:val="C00000"/>
              </w:rPr>
              <w:t>urządzenie wyposażone w zbiornik ciśnieniowy chroniący magazynowaną wodę przed wtórnym zanieczyszczeniem chemicznym i mikrobiologicznym</w:t>
            </w:r>
            <w:r w:rsidR="00665796">
              <w:rPr>
                <w:rFonts w:ascii="Garamond" w:eastAsia="Calibri" w:hAnsi="Garamond" w:cs="Times New Roman"/>
                <w:color w:val="C00000"/>
              </w:rPr>
              <w:t xml:space="preserve"> </w:t>
            </w:r>
            <w:r w:rsidR="00665796" w:rsidRPr="00665796">
              <w:rPr>
                <w:rFonts w:ascii="Garamond" w:eastAsia="Calibri" w:hAnsi="Garamond" w:cs="Times New Roman"/>
                <w:color w:val="C00000"/>
              </w:rPr>
              <w:t>o poj. min.10l.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3DEE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ABB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E6FD" w14:textId="77777777" w:rsidR="003034AD" w:rsidRPr="00F15248" w:rsidRDefault="003034AD" w:rsidP="00BD3D1C">
            <w:pPr>
              <w:spacing w:after="0"/>
              <w:jc w:val="center"/>
              <w:rPr>
                <w:rFonts w:ascii="Garamond" w:hAnsi="Garamond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332057" w:rsidRPr="00F15248" w14:paraId="707A60AF" w14:textId="77777777" w:rsidTr="00311D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7FC5" w14:textId="32AA88B7" w:rsidR="00332057" w:rsidRPr="00F15248" w:rsidRDefault="007D7182" w:rsidP="0087231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32057" w:rsidRPr="00F15248" w14:paraId="4CAD008A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BA7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95BC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ryb niskiego poboru mocy [kW/h]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0C63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098E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7363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74C7EE5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79CA36BF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96F6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E1343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I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nstrukcja obsługi zawierająca wskazówki zarządzania wydajnością i energooszczędnością urządzenia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DE84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140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C1C9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C490ED0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363905B2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40E2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15E9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S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zkolenia dla personelu medycznego i technicznego w zakresie efektywności energetycznej urządzenia(2 medyczne, 1 techniczna)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767E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9A5E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AC6B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A8D350D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54538B37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4C90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146B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C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ertyfikaty producenta potwierdzające wprowadzenie systemu zarządzania  produkcji zgodnego z dyrektywami i/lub normami dotyczącymi ekologii, energooszczędności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1A20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FB8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0C11D22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8B18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65FCD4A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205FB2FE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9639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FC8FF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rwałość produktu rozumiana jako gwarantowany okres pełnego wsparcia serwisowego oraz pełnego dostępu części zamiennych i oprogramowania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B2A2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BC1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CC73330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B62C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067061AC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32057" w:rsidRPr="00F15248" w14:paraId="4B5433EB" w14:textId="77777777" w:rsidTr="003034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7F65" w14:textId="77777777" w:rsidR="00332057" w:rsidRPr="00F15248" w:rsidRDefault="00332057" w:rsidP="003034AD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F3F5" w14:textId="77777777" w:rsidR="00332057" w:rsidRPr="00F15248" w:rsidRDefault="003034AD" w:rsidP="003034AD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M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ożliwość automatycznego przechodzenia urządzenia w tryb czuwania/niskiego poboru mocy</w:t>
            </w:r>
            <w:r w:rsid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F147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2F45" w14:textId="77777777" w:rsidR="00332057" w:rsidRPr="00F15248" w:rsidRDefault="00332057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5B49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05C49A" w14:textId="77777777" w:rsidR="00332057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32057" w:rsidRPr="00F15248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78588E77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85E7219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A4C277C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p w14:paraId="3693AA5F" w14:textId="77777777" w:rsidR="00332057" w:rsidRPr="00F15248" w:rsidRDefault="00332057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363"/>
        <w:gridCol w:w="1843"/>
        <w:gridCol w:w="1984"/>
        <w:gridCol w:w="1701"/>
      </w:tblGrid>
      <w:tr w:rsidR="0045668D" w:rsidRPr="00F15248" w14:paraId="0A09A166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CEAF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4F70D" w14:textId="77777777" w:rsidR="0045668D" w:rsidRPr="00F15248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681A5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5B34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9F93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F15248" w14:paraId="5E73433F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751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68FB6" w14:textId="5893867F" w:rsidR="0045668D" w:rsidRPr="00F15248" w:rsidRDefault="00BD3D1C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 w:cs="Times New Roman"/>
                <w:color w:val="000000" w:themeColor="text1"/>
              </w:rPr>
              <w:t>Okres gwarancji.</w:t>
            </w:r>
          </w:p>
          <w:p w14:paraId="5A73F91B" w14:textId="77777777" w:rsidR="006B6AC3" w:rsidRPr="00F15248" w:rsidRDefault="006B6AC3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iCs/>
                <w:color w:val="000000" w:themeColor="text1"/>
              </w:rPr>
            </w:pPr>
            <w:r w:rsidRPr="00F15248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5F4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C9BF5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EC6E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0F161D6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45668D" w:rsidRPr="00F15248" w14:paraId="0DD791EA" w14:textId="77777777" w:rsidTr="00F1524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7BCA1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1FD1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F15248" w:rsidRPr="00F15248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D58A9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2D08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4A06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03B18988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674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854F" w14:textId="77777777" w:rsidR="0045668D" w:rsidRPr="00F15248" w:rsidRDefault="0045668D" w:rsidP="00F15248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F15248" w:rsidRP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F21B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AB772" w14:textId="77777777" w:rsidR="0045668D" w:rsidRPr="00F15248" w:rsidRDefault="0045668D" w:rsidP="003034AD">
            <w:pPr>
              <w:suppressAutoHyphens/>
              <w:autoSpaceDE w:val="0"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6EC0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16DC1EF5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5C859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3E30A" w14:textId="77777777" w:rsidR="0045668D" w:rsidRPr="00F15248" w:rsidRDefault="0045668D" w:rsidP="00F15248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F15248" w:rsidRP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9AEE7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7BD92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4203" w14:textId="77777777" w:rsid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45668D" w:rsidRPr="00F15248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75213ADD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45668D" w:rsidRPr="00F15248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45668D" w:rsidRPr="00F15248" w14:paraId="4F376ACF" w14:textId="77777777" w:rsidTr="00F1524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C5B6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FD7A" w14:textId="77777777" w:rsidR="0045668D" w:rsidRPr="00F15248" w:rsidRDefault="0045668D" w:rsidP="00F15248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F15248" w:rsidRPr="00F15248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F07D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 xml:space="preserve">Podać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A39B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53FD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Tak- 5 pkt.</w:t>
            </w:r>
          </w:p>
          <w:p w14:paraId="6318F337" w14:textId="77777777" w:rsidR="0045668D" w:rsidRPr="00F15248" w:rsidRDefault="0045668D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1C095B45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DFF3844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31E4625" w14:textId="77777777" w:rsidR="0045668D" w:rsidRPr="00F15248" w:rsidRDefault="00F15248" w:rsidP="003034AD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8362"/>
        <w:gridCol w:w="1843"/>
        <w:gridCol w:w="1982"/>
        <w:gridCol w:w="15"/>
        <w:gridCol w:w="1688"/>
      </w:tblGrid>
      <w:tr w:rsidR="0045668D" w:rsidRPr="00F15248" w14:paraId="185A1D49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5D12F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6C673" w14:textId="77777777" w:rsidR="0045668D" w:rsidRPr="00F15248" w:rsidRDefault="0045668D" w:rsidP="005C33E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80377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D654" w14:textId="77777777" w:rsidR="0045668D" w:rsidRPr="00F15248" w:rsidRDefault="0045668D" w:rsidP="005C33E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3626" w14:textId="77777777" w:rsidR="0045668D" w:rsidRPr="00F15248" w:rsidRDefault="0045668D" w:rsidP="005C33E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5668D" w:rsidRPr="00F15248" w14:paraId="18D04FE1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25F3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6D077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425E" w14:textId="77777777" w:rsidR="0045668D" w:rsidRPr="00F15248" w:rsidRDefault="00F15248" w:rsidP="003034A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186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8F33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2B8A1188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25A3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188DA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BD43B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CEBF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6434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675FB5A1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64CC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AD082" w14:textId="77777777" w:rsidR="0045668D" w:rsidRPr="00F15248" w:rsidRDefault="0045668D" w:rsidP="00F15248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DE25F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1381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1029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43AB84DD" w14:textId="77777777" w:rsidTr="00BD3D1C">
        <w:trPr>
          <w:trHeight w:val="9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DF4B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191C" w14:textId="77777777" w:rsidR="0045668D" w:rsidRPr="00F15248" w:rsidRDefault="0045668D" w:rsidP="00F15248">
            <w:pPr>
              <w:pStyle w:val="Lista-kontynuacja24"/>
              <w:snapToGrid w:val="0"/>
              <w:spacing w:before="60" w:after="60" w:line="288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3159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E592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B64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4D2FE098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DDBD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7222" w14:textId="77777777" w:rsidR="0045668D" w:rsidRPr="00F15248" w:rsidRDefault="0045668D" w:rsidP="00F15248">
            <w:pPr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626FE" w14:textId="77777777" w:rsidR="0045668D" w:rsidRPr="00F15248" w:rsidRDefault="00F15248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B14C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6DFA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07585710" w14:textId="77777777" w:rsidTr="00BD3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7F9B7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60" w:after="6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BACB" w14:textId="77777777" w:rsidR="0045668D" w:rsidRPr="00F15248" w:rsidRDefault="0045668D" w:rsidP="00F15248">
            <w:pPr>
              <w:tabs>
                <w:tab w:val="left" w:pos="0"/>
              </w:tabs>
              <w:snapToGrid w:val="0"/>
              <w:spacing w:before="60" w:after="60" w:line="288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F15248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F15248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1EB5E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4506" w14:textId="77777777" w:rsidR="0045668D" w:rsidRPr="00F15248" w:rsidRDefault="0045668D" w:rsidP="003034AD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2C9" w14:textId="77777777" w:rsidR="0045668D" w:rsidRPr="00F15248" w:rsidRDefault="0045668D" w:rsidP="00311DCB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F1524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5668D" w:rsidRPr="00F15248" w14:paraId="152BB22D" w14:textId="77777777" w:rsidTr="00BD3D1C">
        <w:tblPrEx>
          <w:tblBorders>
            <w:top w:val="single" w:sz="4" w:space="0" w:color="auto"/>
          </w:tblBorders>
        </w:tblPrEx>
        <w:trPr>
          <w:gridBefore w:val="5"/>
          <w:wBefore w:w="12771" w:type="dxa"/>
          <w:trHeight w:val="100"/>
        </w:trPr>
        <w:tc>
          <w:tcPr>
            <w:tcW w:w="1688" w:type="dxa"/>
            <w:tcBorders>
              <w:top w:val="single" w:sz="4" w:space="0" w:color="auto"/>
            </w:tcBorders>
          </w:tcPr>
          <w:p w14:paraId="6310C392" w14:textId="77777777" w:rsidR="0045668D" w:rsidRPr="00F15248" w:rsidRDefault="0045668D" w:rsidP="005C33E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85F1EAC" w14:textId="77777777" w:rsidR="003034AD" w:rsidRPr="00F15248" w:rsidRDefault="003034AD" w:rsidP="00FB307C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4287A6A" w14:textId="77777777" w:rsidR="0045668D" w:rsidRPr="00F15248" w:rsidRDefault="00F15248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SZKOLENIA</w:t>
      </w:r>
    </w:p>
    <w:p w14:paraId="1FECE464" w14:textId="77777777" w:rsidR="0045668D" w:rsidRPr="00F15248" w:rsidRDefault="0045668D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45668D" w:rsidRPr="00F15248" w14:paraId="087D4851" w14:textId="77777777" w:rsidTr="00BD3D1C">
        <w:tc>
          <w:tcPr>
            <w:tcW w:w="534" w:type="dxa"/>
            <w:vAlign w:val="center"/>
          </w:tcPr>
          <w:p w14:paraId="5E02866D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21EBE2FC" w14:textId="77777777" w:rsidR="0045668D" w:rsidRPr="00F15248" w:rsidRDefault="0045668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16F99C9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16BB5B8" w14:textId="77777777" w:rsidR="0045668D" w:rsidRPr="00F15248" w:rsidRDefault="0045668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7C273DDD" w14:textId="77777777" w:rsidR="0045668D" w:rsidRPr="00F15248" w:rsidRDefault="0045668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F15248" w14:paraId="6838D342" w14:textId="77777777" w:rsidTr="00BD3D1C">
        <w:tc>
          <w:tcPr>
            <w:tcW w:w="534" w:type="dxa"/>
          </w:tcPr>
          <w:p w14:paraId="494BF6CF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02484390" w14:textId="77777777" w:rsidR="0045668D" w:rsidRPr="00F15248" w:rsidRDefault="0045668D" w:rsidP="009D1015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</w:rPr>
              <w:t>Szk</w:t>
            </w:r>
            <w:r w:rsidR="009D1015" w:rsidRPr="00F15248">
              <w:rPr>
                <w:rFonts w:ascii="Garamond" w:hAnsi="Garamond"/>
                <w:sz w:val="22"/>
                <w:szCs w:val="22"/>
              </w:rPr>
              <w:t>olenia dla personelu</w:t>
            </w:r>
            <w:r w:rsidRPr="00F15248">
              <w:rPr>
                <w:rFonts w:ascii="Garamond" w:hAnsi="Garamond"/>
                <w:sz w:val="22"/>
                <w:szCs w:val="22"/>
              </w:rPr>
              <w:t xml:space="preserve"> z zakresu obsługi urządzenia (min. 2 osoby</w:t>
            </w:r>
            <w:r w:rsidR="009D1015" w:rsidRPr="00F15248">
              <w:rPr>
                <w:rFonts w:ascii="Garamond" w:hAnsi="Garamond"/>
                <w:sz w:val="22"/>
                <w:szCs w:val="22"/>
              </w:rPr>
              <w:t>)</w:t>
            </w:r>
            <w:r w:rsidR="00F1524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9548F0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C00D838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739571" w14:textId="77777777" w:rsidR="0045668D" w:rsidRPr="00F15248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186470DE" w14:textId="77777777" w:rsidTr="00BD3D1C">
        <w:tc>
          <w:tcPr>
            <w:tcW w:w="534" w:type="dxa"/>
          </w:tcPr>
          <w:p w14:paraId="670D888E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0D3C99EA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</w:rPr>
              <w:t>Szkolenia dla personelu technicznego (min. 2 osoby dla wszystkich etapów szkoleń) z zakresu podstawowej diagnostyki stanu technicznego i wykonywania podstawowych czynności konserwacyjny</w:t>
            </w:r>
            <w:r w:rsidR="00F15248">
              <w:rPr>
                <w:rFonts w:ascii="Garamond" w:hAnsi="Garamond"/>
                <w:sz w:val="22"/>
                <w:szCs w:val="22"/>
              </w:rPr>
              <w:t>ch, naprawczych i przeglądowych.</w:t>
            </w:r>
          </w:p>
        </w:tc>
        <w:tc>
          <w:tcPr>
            <w:tcW w:w="1843" w:type="dxa"/>
            <w:vAlign w:val="center"/>
          </w:tcPr>
          <w:p w14:paraId="68E94FD1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59A7EC6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A24FF57" w14:textId="77777777" w:rsidR="0045668D" w:rsidRPr="00F15248" w:rsidRDefault="0045668D" w:rsidP="00311DC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04ABA55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DDB25DF" w14:textId="77777777" w:rsidR="0045668D" w:rsidRPr="00F15248" w:rsidRDefault="00F15248" w:rsidP="0045668D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F15248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4B48B16E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534"/>
        <w:gridCol w:w="8363"/>
        <w:gridCol w:w="1843"/>
        <w:gridCol w:w="1984"/>
        <w:gridCol w:w="1701"/>
      </w:tblGrid>
      <w:tr w:rsidR="003034AD" w:rsidRPr="00F15248" w14:paraId="6E27A16B" w14:textId="77777777" w:rsidTr="00BD3D1C">
        <w:tc>
          <w:tcPr>
            <w:tcW w:w="534" w:type="dxa"/>
            <w:vAlign w:val="center"/>
          </w:tcPr>
          <w:p w14:paraId="3ECBA57F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2598DF7E" w14:textId="77777777" w:rsidR="003034AD" w:rsidRPr="00F15248" w:rsidRDefault="003034AD" w:rsidP="003034AD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4C29CE4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984" w:type="dxa"/>
            <w:vAlign w:val="center"/>
          </w:tcPr>
          <w:p w14:paraId="6909D8E7" w14:textId="77777777" w:rsidR="003034AD" w:rsidRPr="00F15248" w:rsidRDefault="003034AD" w:rsidP="003034AD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701" w:type="dxa"/>
            <w:vAlign w:val="center"/>
          </w:tcPr>
          <w:p w14:paraId="39D2FC58" w14:textId="77777777" w:rsidR="003034AD" w:rsidRPr="00F15248" w:rsidRDefault="003034AD" w:rsidP="003034AD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F15248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45668D" w:rsidRPr="00F15248" w14:paraId="0B5D8707" w14:textId="77777777" w:rsidTr="00BD3D1C">
        <w:tc>
          <w:tcPr>
            <w:tcW w:w="534" w:type="dxa"/>
          </w:tcPr>
          <w:p w14:paraId="016883D4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21961C88" w14:textId="77777777" w:rsidR="0045668D" w:rsidRPr="00F15248" w:rsidRDefault="0045668D" w:rsidP="005C33E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16D14FF2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6F4C14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6A7B87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56D8E8A1" w14:textId="77777777" w:rsidTr="00BD3D1C">
        <w:tc>
          <w:tcPr>
            <w:tcW w:w="534" w:type="dxa"/>
          </w:tcPr>
          <w:p w14:paraId="1E11D570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2D35DE83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06A6239B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2EB0A6E2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9FF0112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2136212D" w14:textId="77777777" w:rsidTr="00BD3D1C">
        <w:tc>
          <w:tcPr>
            <w:tcW w:w="534" w:type="dxa"/>
          </w:tcPr>
          <w:p w14:paraId="5A614134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14:paraId="600F4420" w14:textId="77777777" w:rsidR="0045668D" w:rsidRPr="00F15248" w:rsidRDefault="0045668D" w:rsidP="005C33E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  <w:r w:rsidR="00F15248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44B57078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7FA87432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C7EA2BD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45668D" w:rsidRPr="00F15248" w14:paraId="0F698E88" w14:textId="77777777" w:rsidTr="00BD3D1C">
        <w:tc>
          <w:tcPr>
            <w:tcW w:w="534" w:type="dxa"/>
          </w:tcPr>
          <w:p w14:paraId="34A38035" w14:textId="77777777" w:rsidR="0045668D" w:rsidRPr="00F15248" w:rsidRDefault="0045668D" w:rsidP="003034AD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363" w:type="dxa"/>
          </w:tcPr>
          <w:p w14:paraId="7F7A4851" w14:textId="77777777" w:rsidR="0045668D" w:rsidRPr="00F15248" w:rsidRDefault="0045668D" w:rsidP="005C33E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15248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11354E2E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984" w:type="dxa"/>
            <w:vAlign w:val="center"/>
          </w:tcPr>
          <w:p w14:paraId="4504ECD7" w14:textId="77777777" w:rsidR="0045668D" w:rsidRPr="00F15248" w:rsidRDefault="0045668D" w:rsidP="005C33E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8FEBB6F" w14:textId="77777777" w:rsidR="0045668D" w:rsidRPr="00F15248" w:rsidRDefault="0045668D" w:rsidP="005C33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15248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5F8DBEE3" w14:textId="77777777" w:rsidR="0045668D" w:rsidRPr="00F15248" w:rsidRDefault="0045668D" w:rsidP="0045668D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BE0EF3E" w14:textId="77777777" w:rsidR="00D15F1D" w:rsidRPr="00F15248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F15248" w:rsidSect="003034AD">
      <w:headerReference w:type="default" r:id="rId8"/>
      <w:foot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87F9" w14:textId="77777777" w:rsidR="00C44CF3" w:rsidRDefault="00C44CF3" w:rsidP="002B10C5">
      <w:pPr>
        <w:spacing w:after="0" w:line="240" w:lineRule="auto"/>
      </w:pPr>
      <w:r>
        <w:separator/>
      </w:r>
    </w:p>
  </w:endnote>
  <w:endnote w:type="continuationSeparator" w:id="0">
    <w:p w14:paraId="76129478" w14:textId="77777777" w:rsidR="00C44CF3" w:rsidRDefault="00C44CF3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15565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DB97E3" w14:textId="613021DB" w:rsidR="00F15248" w:rsidRPr="00F15248" w:rsidRDefault="00F15248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F15248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65796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F15248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665796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F15248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5EC105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001F" w14:textId="77777777" w:rsidR="00C44CF3" w:rsidRDefault="00C44CF3" w:rsidP="002B10C5">
      <w:pPr>
        <w:spacing w:after="0" w:line="240" w:lineRule="auto"/>
      </w:pPr>
      <w:r>
        <w:separator/>
      </w:r>
    </w:p>
  </w:footnote>
  <w:footnote w:type="continuationSeparator" w:id="0">
    <w:p w14:paraId="09E39AF4" w14:textId="77777777" w:rsidR="00C44CF3" w:rsidRDefault="00C44CF3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2BD0" w14:textId="51A2C51F" w:rsidR="00F15248" w:rsidRDefault="00F15248" w:rsidP="00761FCA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03CA0F03" wp14:editId="79AEA062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8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091D8995" w14:textId="77777777" w:rsidR="00F15248" w:rsidRPr="00B15D8E" w:rsidRDefault="00F15248" w:rsidP="00761FCA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A34C2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E9E"/>
    <w:multiLevelType w:val="multilevel"/>
    <w:tmpl w:val="928A62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64A2CCA"/>
    <w:multiLevelType w:val="multilevel"/>
    <w:tmpl w:val="FC4482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8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6"/>
  </w:num>
  <w:num w:numId="9">
    <w:abstractNumId w:val="13"/>
  </w:num>
  <w:num w:numId="10">
    <w:abstractNumId w:val="29"/>
  </w:num>
  <w:num w:numId="11">
    <w:abstractNumId w:val="12"/>
  </w:num>
  <w:num w:numId="12">
    <w:abstractNumId w:val="23"/>
  </w:num>
  <w:num w:numId="13">
    <w:abstractNumId w:val="18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9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5"/>
  </w:num>
  <w:num w:numId="24">
    <w:abstractNumId w:val="21"/>
  </w:num>
  <w:num w:numId="25">
    <w:abstractNumId w:val="15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4"/>
  </w:num>
  <w:num w:numId="32">
    <w:abstractNumId w:val="11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2C7D"/>
    <w:rsid w:val="0001385B"/>
    <w:rsid w:val="0003473F"/>
    <w:rsid w:val="00041E4B"/>
    <w:rsid w:val="000439CB"/>
    <w:rsid w:val="00062621"/>
    <w:rsid w:val="00063146"/>
    <w:rsid w:val="0006612C"/>
    <w:rsid w:val="00075BA5"/>
    <w:rsid w:val="000800FB"/>
    <w:rsid w:val="00082567"/>
    <w:rsid w:val="00086670"/>
    <w:rsid w:val="000872C6"/>
    <w:rsid w:val="000A01C5"/>
    <w:rsid w:val="000A42E2"/>
    <w:rsid w:val="000B3F15"/>
    <w:rsid w:val="000C38A6"/>
    <w:rsid w:val="000C7F46"/>
    <w:rsid w:val="000D0B99"/>
    <w:rsid w:val="000E296E"/>
    <w:rsid w:val="00103B6B"/>
    <w:rsid w:val="00106FA1"/>
    <w:rsid w:val="00107E9C"/>
    <w:rsid w:val="00126931"/>
    <w:rsid w:val="00127C35"/>
    <w:rsid w:val="00153000"/>
    <w:rsid w:val="001614D2"/>
    <w:rsid w:val="001703BB"/>
    <w:rsid w:val="00186665"/>
    <w:rsid w:val="001903D2"/>
    <w:rsid w:val="00195D24"/>
    <w:rsid w:val="001A1CE4"/>
    <w:rsid w:val="001A26B2"/>
    <w:rsid w:val="001C5AC0"/>
    <w:rsid w:val="001D7920"/>
    <w:rsid w:val="001E6CE6"/>
    <w:rsid w:val="001F722D"/>
    <w:rsid w:val="001F741A"/>
    <w:rsid w:val="00224229"/>
    <w:rsid w:val="00226290"/>
    <w:rsid w:val="00226C7E"/>
    <w:rsid w:val="00230493"/>
    <w:rsid w:val="002418CF"/>
    <w:rsid w:val="00243245"/>
    <w:rsid w:val="00252F4E"/>
    <w:rsid w:val="00255BA4"/>
    <w:rsid w:val="00264D89"/>
    <w:rsid w:val="00275E43"/>
    <w:rsid w:val="002764C3"/>
    <w:rsid w:val="00281C87"/>
    <w:rsid w:val="00297630"/>
    <w:rsid w:val="002A0F86"/>
    <w:rsid w:val="002A1F99"/>
    <w:rsid w:val="002A5BA5"/>
    <w:rsid w:val="002B1075"/>
    <w:rsid w:val="002B10C5"/>
    <w:rsid w:val="002E6120"/>
    <w:rsid w:val="002E7641"/>
    <w:rsid w:val="003034AD"/>
    <w:rsid w:val="00307B01"/>
    <w:rsid w:val="00311DCB"/>
    <w:rsid w:val="00315266"/>
    <w:rsid w:val="0031723C"/>
    <w:rsid w:val="00330BAA"/>
    <w:rsid w:val="00332057"/>
    <w:rsid w:val="00336D33"/>
    <w:rsid w:val="0035006A"/>
    <w:rsid w:val="003502EB"/>
    <w:rsid w:val="00361E18"/>
    <w:rsid w:val="00373347"/>
    <w:rsid w:val="003816D4"/>
    <w:rsid w:val="003854C4"/>
    <w:rsid w:val="00386BDE"/>
    <w:rsid w:val="003870C0"/>
    <w:rsid w:val="003926BE"/>
    <w:rsid w:val="00396262"/>
    <w:rsid w:val="00397214"/>
    <w:rsid w:val="003A130B"/>
    <w:rsid w:val="003A5949"/>
    <w:rsid w:val="003A61A6"/>
    <w:rsid w:val="003C2CC5"/>
    <w:rsid w:val="003D437E"/>
    <w:rsid w:val="003F25EF"/>
    <w:rsid w:val="00406602"/>
    <w:rsid w:val="00420195"/>
    <w:rsid w:val="00423FFC"/>
    <w:rsid w:val="00431206"/>
    <w:rsid w:val="00444EC2"/>
    <w:rsid w:val="004537A6"/>
    <w:rsid w:val="004551EF"/>
    <w:rsid w:val="0045668D"/>
    <w:rsid w:val="0047139F"/>
    <w:rsid w:val="00476E88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213F8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1E44"/>
    <w:rsid w:val="005C2DEE"/>
    <w:rsid w:val="005C6D9B"/>
    <w:rsid w:val="005D4B84"/>
    <w:rsid w:val="00602393"/>
    <w:rsid w:val="0060361C"/>
    <w:rsid w:val="00604D5A"/>
    <w:rsid w:val="00617EC5"/>
    <w:rsid w:val="006257B4"/>
    <w:rsid w:val="006309BF"/>
    <w:rsid w:val="006359AC"/>
    <w:rsid w:val="00641AD0"/>
    <w:rsid w:val="00647553"/>
    <w:rsid w:val="00660D6E"/>
    <w:rsid w:val="00662669"/>
    <w:rsid w:val="00665796"/>
    <w:rsid w:val="00682BFE"/>
    <w:rsid w:val="00687F40"/>
    <w:rsid w:val="006A6D5A"/>
    <w:rsid w:val="006B4EB8"/>
    <w:rsid w:val="006B6AC3"/>
    <w:rsid w:val="006C132C"/>
    <w:rsid w:val="006E09BB"/>
    <w:rsid w:val="006F4B69"/>
    <w:rsid w:val="0070475A"/>
    <w:rsid w:val="00716F0E"/>
    <w:rsid w:val="00741D21"/>
    <w:rsid w:val="007475D7"/>
    <w:rsid w:val="00751EE5"/>
    <w:rsid w:val="00761FCA"/>
    <w:rsid w:val="00782D28"/>
    <w:rsid w:val="00795D24"/>
    <w:rsid w:val="007B4693"/>
    <w:rsid w:val="007B64B7"/>
    <w:rsid w:val="007C42CC"/>
    <w:rsid w:val="007D2398"/>
    <w:rsid w:val="007D5E92"/>
    <w:rsid w:val="007D7182"/>
    <w:rsid w:val="007E41E1"/>
    <w:rsid w:val="008028E8"/>
    <w:rsid w:val="0082224E"/>
    <w:rsid w:val="00827157"/>
    <w:rsid w:val="008273A2"/>
    <w:rsid w:val="008518D5"/>
    <w:rsid w:val="008674A7"/>
    <w:rsid w:val="00873BCA"/>
    <w:rsid w:val="00877102"/>
    <w:rsid w:val="0088133C"/>
    <w:rsid w:val="008920BA"/>
    <w:rsid w:val="008A75B4"/>
    <w:rsid w:val="008B0660"/>
    <w:rsid w:val="008B6348"/>
    <w:rsid w:val="008B79CC"/>
    <w:rsid w:val="008E4B96"/>
    <w:rsid w:val="008E779E"/>
    <w:rsid w:val="009029F8"/>
    <w:rsid w:val="00907DC8"/>
    <w:rsid w:val="00910593"/>
    <w:rsid w:val="00914129"/>
    <w:rsid w:val="00922BE9"/>
    <w:rsid w:val="00925ECB"/>
    <w:rsid w:val="009319E1"/>
    <w:rsid w:val="0093379E"/>
    <w:rsid w:val="00940170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1015"/>
    <w:rsid w:val="009D51C7"/>
    <w:rsid w:val="00A010C4"/>
    <w:rsid w:val="00A06BA0"/>
    <w:rsid w:val="00A12E1A"/>
    <w:rsid w:val="00A268C6"/>
    <w:rsid w:val="00A37445"/>
    <w:rsid w:val="00A609DF"/>
    <w:rsid w:val="00A67CC0"/>
    <w:rsid w:val="00A75281"/>
    <w:rsid w:val="00A8133F"/>
    <w:rsid w:val="00A821D9"/>
    <w:rsid w:val="00A827FC"/>
    <w:rsid w:val="00A83419"/>
    <w:rsid w:val="00A91194"/>
    <w:rsid w:val="00A971B9"/>
    <w:rsid w:val="00AA4EE4"/>
    <w:rsid w:val="00AE0249"/>
    <w:rsid w:val="00AF3299"/>
    <w:rsid w:val="00AF7709"/>
    <w:rsid w:val="00B06439"/>
    <w:rsid w:val="00B20B77"/>
    <w:rsid w:val="00B33D13"/>
    <w:rsid w:val="00B72884"/>
    <w:rsid w:val="00B80BC2"/>
    <w:rsid w:val="00B866E3"/>
    <w:rsid w:val="00B935A3"/>
    <w:rsid w:val="00BA1B97"/>
    <w:rsid w:val="00BC771B"/>
    <w:rsid w:val="00BD3D1C"/>
    <w:rsid w:val="00BD55C5"/>
    <w:rsid w:val="00BD6659"/>
    <w:rsid w:val="00BE3A21"/>
    <w:rsid w:val="00BE7B7B"/>
    <w:rsid w:val="00BF6E10"/>
    <w:rsid w:val="00C0379C"/>
    <w:rsid w:val="00C10E44"/>
    <w:rsid w:val="00C13827"/>
    <w:rsid w:val="00C244A0"/>
    <w:rsid w:val="00C253BF"/>
    <w:rsid w:val="00C2669F"/>
    <w:rsid w:val="00C26A37"/>
    <w:rsid w:val="00C31270"/>
    <w:rsid w:val="00C44CF3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CF774C"/>
    <w:rsid w:val="00D1524D"/>
    <w:rsid w:val="00D15933"/>
    <w:rsid w:val="00D15F1D"/>
    <w:rsid w:val="00D34B80"/>
    <w:rsid w:val="00D43C5A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2C"/>
    <w:rsid w:val="00DC7F16"/>
    <w:rsid w:val="00DE6D97"/>
    <w:rsid w:val="00DF2B72"/>
    <w:rsid w:val="00DF3D22"/>
    <w:rsid w:val="00E27249"/>
    <w:rsid w:val="00E350B5"/>
    <w:rsid w:val="00E42DA8"/>
    <w:rsid w:val="00E43E66"/>
    <w:rsid w:val="00E47565"/>
    <w:rsid w:val="00E50DAF"/>
    <w:rsid w:val="00E54929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F000D0"/>
    <w:rsid w:val="00F15248"/>
    <w:rsid w:val="00F2135D"/>
    <w:rsid w:val="00F32718"/>
    <w:rsid w:val="00F33599"/>
    <w:rsid w:val="00F34EF1"/>
    <w:rsid w:val="00F4576E"/>
    <w:rsid w:val="00F61FA1"/>
    <w:rsid w:val="00F65B8E"/>
    <w:rsid w:val="00F85098"/>
    <w:rsid w:val="00F95A0E"/>
    <w:rsid w:val="00FA2BC1"/>
    <w:rsid w:val="00FA3DE1"/>
    <w:rsid w:val="00FA424E"/>
    <w:rsid w:val="00FA47B5"/>
    <w:rsid w:val="00FA72BE"/>
    <w:rsid w:val="00FB307C"/>
    <w:rsid w:val="00FE260C"/>
    <w:rsid w:val="00FF319F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B4EF"/>
  <w15:docId w15:val="{8C40C4F2-647C-4B22-8C8E-43F7EF6A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B0A8-24F2-4663-9541-289B5C7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6</cp:revision>
  <cp:lastPrinted>2018-07-06T08:48:00Z</cp:lastPrinted>
  <dcterms:created xsi:type="dcterms:W3CDTF">2019-06-06T08:41:00Z</dcterms:created>
  <dcterms:modified xsi:type="dcterms:W3CDTF">2019-07-15T08:46:00Z</dcterms:modified>
</cp:coreProperties>
</file>